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69" w:lineRule="auto"/>
      </w:pPr>
      <w:r>
        <w:rPr>
          <w:rFonts w:ascii="Calibri" w:hAnsi="Calibri" w:eastAsia="Calibri"/>
          <w:b/>
          <w:i w:val="0"/>
          <w:color w:val="2F6F4E"/>
          <w:sz w:val="22"/>
        </w:rPr>
        <w:t>EL PARAISO GOLF CLUB</w:t>
      </w:r>
    </w:p>
    <w:p>
      <w:pPr>
        <w:spacing w:before="0" w:after="0" w:line="269" w:lineRule="auto"/>
      </w:pPr>
      <w:r>
        <w:rPr>
          <w:rFonts w:ascii="Calibri" w:hAnsi="Calibri" w:eastAsia="Calibri"/>
          <w:b/>
          <w:i w:val="0"/>
          <w:color w:val="1B4D3E"/>
          <w:sz w:val="40"/>
        </w:rPr>
        <w:t>Staffing, Organisation and Remuneration Framework</w:t>
      </w:r>
    </w:p>
    <w:p>
      <w:pPr>
        <w:spacing w:before="40" w:after="40" w:line="269" w:lineRule="auto"/>
      </w:pPr>
      <w:r>
        <w:rPr>
          <w:rFonts w:ascii="Calibri" w:hAnsi="Calibri" w:eastAsia="Calibri"/>
          <w:b w:val="0"/>
          <w:i w:val="0"/>
          <w:color w:val="3D4A42"/>
          <w:sz w:val="28"/>
        </w:rPr>
        <w:t>Version 2  —  Project plan</w:t>
      </w:r>
    </w:p>
    <w:p>
      <w:pPr>
        <w:spacing w:before="40" w:after="160" w:line="269" w:lineRule="auto"/>
      </w:pPr>
      <w:r>
        <w:rPr>
          <w:rFonts w:ascii="Calibri" w:hAnsi="Calibri" w:eastAsia="Calibri"/>
          <w:b w:val="0"/>
          <w:i/>
          <w:color w:val="3D4A42"/>
          <w:sz w:val="20"/>
        </w:rPr>
        <w:t>Restructured 16 October 2026 from the working draft of 12–13 October 2026. Holding company EPGH. Operating businesses: the golf club (EPGC) and the restaurant (EPGCR).</w:t>
      </w:r>
    </w:p>
    <w:tbl>
      <w:tblPr>
        <w:tblW w:type="dxa" w:w="10080"/>
        <w:jc w:val="center"/>
        <w:tblLook w:firstColumn="1" w:firstRow="1" w:lastColumn="0" w:lastRow="0" w:noHBand="0" w:noVBand="1" w:val="04A0"/>
        <w:tblBorders>
          <w:top w:val="single" w:sz="4" w:space="0" w:color="C4A35A"/>
          <w:left w:val="single" w:sz="4" w:space="0" w:color="C4A35A"/>
          <w:bottom w:val="single" w:sz="4" w:space="0" w:color="C4A35A"/>
          <w:right w:val="single" w:sz="4" w:space="0" w:color="C4A35A"/>
          <w:insideH w:val="single" w:sz="4" w:space="0" w:color="C4A35A"/>
          <w:insideV w:val="single" w:sz="4" w:space="0" w:color="C4A35A"/>
        </w:tblBorders>
        <w:tblLayout w:type="fixed"/>
        <w:tblCellMar>
          <w:top w:w="100" w:type="dxa"/>
          <w:left w:w="100" w:type="dxa"/>
          <w:bottom w:w="100" w:type="dxa"/>
          <w:right w:w="100" w:type="dxa"/>
        </w:tblCellMar>
      </w:tblPr>
      <w:tblGrid>
        <w:gridCol w:w="10080"/>
      </w:tblGrid>
      <w:tr>
        <w:tc>
          <w:tcPr>
            <w:tcW w:w="10080" w:type="dxa"/>
            <w:shd w:fill="FBF6EA" w:val="clear"/>
            <w:vAlign w:val="center"/>
          </w:tcPr>
          <w:p>
            <w:pPr>
              <w:spacing w:before="20" w:after="20" w:line="252" w:lineRule="auto"/>
            </w:pPr>
            <w:r/>
            <w:r>
              <w:rPr>
                <w:rFonts w:ascii="Calibri" w:hAnsi="Calibri" w:eastAsia="Calibri"/>
                <w:b w:val="0"/>
                <w:i w:val="0"/>
                <w:color w:val="1A1A1A"/>
                <w:sz w:val="20"/>
              </w:rPr>
              <w:t>This is a working project plan, not an approved staffing or pay policy. Organisation charts and salary bands are proposals for discussion. No staffing cuts, salary increases or changes to employment conditions are implied. Before anything is implemented, confirm the collective agreement, job classifications, working-time rules and employment-law requirements with the club’s Spanish labour adviser.</w:t>
            </w:r>
          </w:p>
        </w:tc>
      </w:tr>
    </w:tbl>
    <w:p>
      <w:pPr>
        <w:spacing w:after="40"/>
      </w:pPr>
    </w:p>
    <w:p>
      <w:pPr>
        <w:pStyle w:val="Heading1"/>
        <w:spacing w:before="280" w:after="80"/>
      </w:pPr>
      <w:r>
        <w:rPr>
          <w:rFonts w:ascii="Calibri" w:hAnsi="Calibri" w:eastAsia="Calibri"/>
          <w:color w:val="1B4D3E"/>
        </w:rPr>
        <w:t>Action to-do list</w:t>
      </w:r>
    </w:p>
    <w:p>
      <w:pPr>
        <w:spacing w:before="40" w:after="120" w:line="269" w:lineRule="auto"/>
      </w:pPr>
      <w:r>
        <w:rPr>
          <w:rFonts w:ascii="Calibri" w:hAnsi="Calibri" w:eastAsia="Calibri"/>
          <w:b w:val="0"/>
          <w:i w:val="0"/>
          <w:color w:val="1A1A1A"/>
          <w:sz w:val="22"/>
        </w:rPr>
        <w:t>Owners and dates below are the working assignments for this plan. Where a date was given without a status, the status is recorded as To Do.</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800"/>
        <w:gridCol w:w="4780"/>
        <w:gridCol w:w="2900"/>
        <w:gridCol w:w="1600"/>
      </w:tblGrid>
      <w:tr>
        <w:trPr>
          <w:tblHeader/>
          <w:cantSplit/>
        </w:trPr>
        <w:tc>
          <w:tcPr>
            <w:tcW w:w="800" w:type="dxa"/>
            <w:shd w:fill="1B4D3E" w:val="clear"/>
            <w:vAlign w:val="center"/>
          </w:tcPr>
          <w:p>
            <w:pPr>
              <w:spacing w:before="20" w:after="20" w:line="252" w:lineRule="auto"/>
            </w:pPr>
            <w:r/>
            <w:r>
              <w:rPr>
                <w:rFonts w:ascii="Calibri" w:hAnsi="Calibri" w:eastAsia="Calibri"/>
                <w:b/>
                <w:i w:val="0"/>
                <w:color w:val="FFFFFF"/>
                <w:sz w:val="20"/>
              </w:rPr>
              <w:t>Who</w:t>
            </w:r>
          </w:p>
        </w:tc>
        <w:tc>
          <w:tcPr>
            <w:tcW w:w="4780" w:type="dxa"/>
            <w:shd w:fill="1B4D3E" w:val="clear"/>
            <w:vAlign w:val="center"/>
          </w:tcPr>
          <w:p>
            <w:pPr>
              <w:spacing w:before="20" w:after="20" w:line="252" w:lineRule="auto"/>
            </w:pPr>
            <w:r/>
            <w:r>
              <w:rPr>
                <w:rFonts w:ascii="Calibri" w:hAnsi="Calibri" w:eastAsia="Calibri"/>
                <w:b/>
                <w:i w:val="0"/>
                <w:color w:val="FFFFFF"/>
                <w:sz w:val="20"/>
              </w:rPr>
              <w:t>What</w:t>
            </w:r>
          </w:p>
        </w:tc>
        <w:tc>
          <w:tcPr>
            <w:tcW w:w="2900" w:type="dxa"/>
            <w:shd w:fill="1B4D3E" w:val="clear"/>
            <w:vAlign w:val="center"/>
          </w:tcPr>
          <w:p>
            <w:pPr>
              <w:spacing w:before="20" w:after="20" w:line="252" w:lineRule="auto"/>
            </w:pPr>
            <w:r/>
            <w:r>
              <w:rPr>
                <w:rFonts w:ascii="Calibri" w:hAnsi="Calibri" w:eastAsia="Calibri"/>
                <w:b/>
                <w:i w:val="0"/>
                <w:color w:val="FFFFFF"/>
                <w:sz w:val="20"/>
              </w:rPr>
              <w:t>Estimated date of completion</w:t>
            </w:r>
          </w:p>
        </w:tc>
        <w:tc>
          <w:tcPr>
            <w:tcW w:w="1600" w:type="dxa"/>
            <w:shd w:fill="1B4D3E" w:val="clear"/>
            <w:vAlign w:val="center"/>
          </w:tcPr>
          <w:p>
            <w:pPr>
              <w:spacing w:before="20" w:after="20" w:line="252" w:lineRule="auto"/>
            </w:pPr>
            <w:r/>
            <w:r>
              <w:rPr>
                <w:rFonts w:ascii="Calibri" w:hAnsi="Calibri" w:eastAsia="Calibri"/>
                <w:b/>
                <w:i w:val="0"/>
                <w:color w:val="FFFFFF"/>
                <w:sz w:val="20"/>
              </w:rPr>
              <w:t>Status</w:t>
            </w:r>
          </w:p>
        </w:tc>
      </w:tr>
      <w:tr>
        <w:trPr>
          <w:cantSplit/>
        </w:trPr>
        <w:tc>
          <w:tcPr>
            <w:tcW w:w="800" w:type="dxa"/>
            <w:shd w:fill="FFFFFF" w:val="clear"/>
            <w:vAlign w:val="center"/>
          </w:tcPr>
          <w:p>
            <w:pPr>
              <w:spacing w:before="20" w:after="20" w:line="252" w:lineRule="auto"/>
            </w:pPr>
            <w:r/>
            <w:r>
              <w:rPr>
                <w:rFonts w:ascii="Calibri" w:hAnsi="Calibri" w:eastAsia="Calibri"/>
                <w:b/>
                <w:i w:val="0"/>
                <w:color w:val="1A1A1A"/>
                <w:sz w:val="20"/>
              </w:rPr>
              <w:t>BK</w:t>
            </w:r>
          </w:p>
        </w:tc>
        <w:tc>
          <w:tcPr>
            <w:tcW w:w="4780" w:type="dxa"/>
            <w:shd w:fill="FFFFFF" w:val="clear"/>
            <w:vAlign w:val="center"/>
          </w:tcPr>
          <w:p>
            <w:pPr>
              <w:spacing w:before="20" w:after="20" w:line="252" w:lineRule="auto"/>
            </w:pPr>
            <w:r/>
            <w:r>
              <w:rPr>
                <w:rFonts w:ascii="Calibri" w:hAnsi="Calibri" w:eastAsia="Calibri"/>
                <w:b w:val="0"/>
                <w:i w:val="0"/>
                <w:color w:val="1A1A1A"/>
                <w:sz w:val="20"/>
              </w:rPr>
              <w:t>Speak to the external salary and union consultant.</w:t>
            </w:r>
          </w:p>
        </w:tc>
        <w:tc>
          <w:tcPr>
            <w:tcW w:w="2900" w:type="dxa"/>
            <w:shd w:fill="FFFFFF" w:val="clear"/>
            <w:vAlign w:val="center"/>
          </w:tcPr>
          <w:p>
            <w:pPr>
              <w:spacing w:before="20" w:after="20" w:line="252" w:lineRule="auto"/>
            </w:pPr>
            <w:r/>
            <w:r>
              <w:rPr>
                <w:rFonts w:ascii="Calibri" w:hAnsi="Calibri" w:eastAsia="Calibri"/>
                <w:b w:val="0"/>
                <w:i w:val="0"/>
                <w:color w:val="1A1A1A"/>
                <w:sz w:val="20"/>
              </w:rPr>
              <w:t>1 November 2026</w:t>
            </w:r>
          </w:p>
        </w:tc>
        <w:tc>
          <w:tcPr>
            <w:tcW w:w="1600" w:type="dxa"/>
            <w:shd w:fill="F4E4C4" w:val="clear"/>
            <w:vAlign w:val="center"/>
          </w:tcPr>
          <w:p>
            <w:pPr>
              <w:spacing w:before="20" w:after="20" w:line="252" w:lineRule="auto"/>
            </w:pPr>
            <w:r/>
            <w:r>
              <w:rPr>
                <w:rFonts w:ascii="Calibri" w:hAnsi="Calibri" w:eastAsia="Calibri"/>
                <w:b/>
                <w:i w:val="0"/>
                <w:color w:val="1A1A1A"/>
                <w:sz w:val="20"/>
              </w:rPr>
              <w:t>To Do</w:t>
            </w:r>
          </w:p>
        </w:tc>
      </w:tr>
      <w:tr>
        <w:trPr>
          <w:cantSplit/>
        </w:trPr>
        <w:tc>
          <w:tcPr>
            <w:tcW w:w="800" w:type="dxa"/>
            <w:shd w:fill="F4F7F4" w:val="clear"/>
            <w:vAlign w:val="center"/>
          </w:tcPr>
          <w:p>
            <w:pPr>
              <w:spacing w:before="20" w:after="20" w:line="252" w:lineRule="auto"/>
            </w:pPr>
            <w:r/>
            <w:r>
              <w:rPr>
                <w:rFonts w:ascii="Calibri" w:hAnsi="Calibri" w:eastAsia="Calibri"/>
                <w:b/>
                <w:i w:val="0"/>
                <w:color w:val="1A1A1A"/>
                <w:sz w:val="20"/>
              </w:rPr>
              <w:t>BK</w:t>
            </w:r>
          </w:p>
        </w:tc>
        <w:tc>
          <w:tcPr>
            <w:tcW w:w="4780" w:type="dxa"/>
            <w:shd w:fill="F4F7F4" w:val="clear"/>
            <w:vAlign w:val="center"/>
          </w:tcPr>
          <w:p>
            <w:pPr>
              <w:spacing w:before="20" w:after="20" w:line="252" w:lineRule="auto"/>
            </w:pPr>
            <w:r/>
            <w:r>
              <w:rPr>
                <w:rFonts w:ascii="Calibri" w:hAnsi="Calibri" w:eastAsia="Calibri"/>
                <w:b w:val="0"/>
                <w:i w:val="0"/>
                <w:color w:val="1A1A1A"/>
                <w:sz w:val="20"/>
              </w:rPr>
              <w:t>When the draft project plan is finalised, present it to MH.</w:t>
            </w:r>
          </w:p>
        </w:tc>
        <w:tc>
          <w:tcPr>
            <w:tcW w:w="2900" w:type="dxa"/>
            <w:shd w:fill="F4F7F4" w:val="clear"/>
            <w:vAlign w:val="center"/>
          </w:tcPr>
          <w:p>
            <w:pPr>
              <w:spacing w:before="20" w:after="20" w:line="252" w:lineRule="auto"/>
            </w:pPr>
            <w:r/>
            <w:r>
              <w:rPr>
                <w:rFonts w:ascii="Calibri" w:hAnsi="Calibri" w:eastAsia="Calibri"/>
                <w:b w:val="0"/>
                <w:i w:val="0"/>
                <w:color w:val="1A1A1A"/>
                <w:sz w:val="20"/>
              </w:rPr>
              <w:t>1 November 2026</w:t>
            </w:r>
          </w:p>
        </w:tc>
        <w:tc>
          <w:tcPr>
            <w:tcW w:w="1600" w:type="dxa"/>
            <w:shd w:fill="D9E6F2" w:val="clear"/>
            <w:vAlign w:val="center"/>
          </w:tcPr>
          <w:p>
            <w:pPr>
              <w:spacing w:before="20" w:after="20" w:line="252" w:lineRule="auto"/>
            </w:pPr>
            <w:r/>
            <w:r>
              <w:rPr>
                <w:rFonts w:ascii="Calibri" w:hAnsi="Calibri" w:eastAsia="Calibri"/>
                <w:b/>
                <w:i w:val="0"/>
                <w:color w:val="1A1A1A"/>
                <w:sz w:val="20"/>
              </w:rPr>
              <w:t>Plan date</w:t>
            </w:r>
          </w:p>
        </w:tc>
      </w:tr>
      <w:tr>
        <w:trPr>
          <w:cantSplit/>
        </w:trPr>
        <w:tc>
          <w:tcPr>
            <w:tcW w:w="800" w:type="dxa"/>
            <w:shd w:fill="FFFFFF" w:val="clear"/>
            <w:vAlign w:val="center"/>
          </w:tcPr>
          <w:p>
            <w:pPr>
              <w:spacing w:before="20" w:after="20" w:line="252" w:lineRule="auto"/>
            </w:pPr>
            <w:r/>
            <w:r>
              <w:rPr>
                <w:rFonts w:ascii="Calibri" w:hAnsi="Calibri" w:eastAsia="Calibri"/>
                <w:b/>
                <w:i w:val="0"/>
                <w:color w:val="1A1A1A"/>
                <w:sz w:val="20"/>
              </w:rPr>
              <w:t>BG</w:t>
            </w:r>
          </w:p>
        </w:tc>
        <w:tc>
          <w:tcPr>
            <w:tcW w:w="4780" w:type="dxa"/>
            <w:shd w:fill="FFFFFF" w:val="clear"/>
            <w:vAlign w:val="center"/>
          </w:tcPr>
          <w:p>
            <w:pPr>
              <w:spacing w:before="20" w:after="20" w:line="252" w:lineRule="auto"/>
            </w:pPr>
            <w:r/>
            <w:r>
              <w:rPr>
                <w:rFonts w:ascii="Calibri" w:hAnsi="Calibri" w:eastAsia="Calibri"/>
                <w:b w:val="0"/>
                <w:i w:val="0"/>
                <w:color w:val="1A1A1A"/>
                <w:sz w:val="20"/>
              </w:rPr>
              <w:t>Restructure the project plan as version 2.</w:t>
            </w:r>
          </w:p>
        </w:tc>
        <w:tc>
          <w:tcPr>
            <w:tcW w:w="2900" w:type="dxa"/>
            <w:shd w:fill="FFFFFF" w:val="clear"/>
            <w:vAlign w:val="center"/>
          </w:tcPr>
          <w:p>
            <w:pPr>
              <w:spacing w:before="20" w:after="20" w:line="252" w:lineRule="auto"/>
            </w:pPr>
            <w:r/>
            <w:r>
              <w:rPr>
                <w:rFonts w:ascii="Calibri" w:hAnsi="Calibri" w:eastAsia="Calibri"/>
                <w:b w:val="0"/>
                <w:i w:val="0"/>
                <w:color w:val="1A1A1A"/>
                <w:sz w:val="20"/>
              </w:rPr>
              <w:t>17 October 2026</w:t>
            </w:r>
          </w:p>
        </w:tc>
        <w:tc>
          <w:tcPr>
            <w:tcW w:w="1600" w:type="dxa"/>
            <w:shd w:fill="F4E4C4" w:val="clear"/>
            <w:vAlign w:val="center"/>
          </w:tcPr>
          <w:p>
            <w:pPr>
              <w:spacing w:before="20" w:after="20" w:line="252" w:lineRule="auto"/>
            </w:pPr>
            <w:r/>
            <w:r>
              <w:rPr>
                <w:rFonts w:ascii="Calibri" w:hAnsi="Calibri" w:eastAsia="Calibri"/>
                <w:b/>
                <w:i w:val="0"/>
                <w:color w:val="1A1A1A"/>
                <w:sz w:val="20"/>
              </w:rPr>
              <w:t>To Do</w:t>
            </w:r>
          </w:p>
        </w:tc>
      </w:tr>
      <w:tr>
        <w:trPr>
          <w:cantSplit/>
        </w:trPr>
        <w:tc>
          <w:tcPr>
            <w:tcW w:w="800" w:type="dxa"/>
            <w:shd w:fill="F4F7F4" w:val="clear"/>
            <w:vAlign w:val="center"/>
          </w:tcPr>
          <w:p>
            <w:pPr>
              <w:spacing w:before="20" w:after="20" w:line="252" w:lineRule="auto"/>
            </w:pPr>
            <w:r/>
            <w:r>
              <w:rPr>
                <w:rFonts w:ascii="Calibri" w:hAnsi="Calibri" w:eastAsia="Calibri"/>
                <w:b/>
                <w:i w:val="0"/>
                <w:color w:val="1A1A1A"/>
                <w:sz w:val="20"/>
              </w:rPr>
              <w:t>CG</w:t>
            </w:r>
          </w:p>
        </w:tc>
        <w:tc>
          <w:tcPr>
            <w:tcW w:w="4780" w:type="dxa"/>
            <w:shd w:fill="F4F7F4" w:val="clear"/>
            <w:vAlign w:val="center"/>
          </w:tcPr>
          <w:p>
            <w:pPr>
              <w:spacing w:before="20" w:after="20" w:line="252" w:lineRule="auto"/>
            </w:pPr>
            <w:r/>
            <w:r>
              <w:rPr>
                <w:rFonts w:ascii="Calibri" w:hAnsi="Calibri" w:eastAsia="Calibri"/>
                <w:b w:val="0"/>
                <w:i w:val="0"/>
                <w:color w:val="1A1A1A"/>
                <w:sz w:val="20"/>
              </w:rPr>
              <w:t>Go through Part 1 and complete today’s status (names, headcount and current pay).</w:t>
            </w:r>
          </w:p>
        </w:tc>
        <w:tc>
          <w:tcPr>
            <w:tcW w:w="2900" w:type="dxa"/>
            <w:shd w:fill="F4F7F4" w:val="clear"/>
            <w:vAlign w:val="center"/>
          </w:tcPr>
          <w:p>
            <w:pPr>
              <w:spacing w:before="20" w:after="20" w:line="252" w:lineRule="auto"/>
            </w:pPr>
            <w:r/>
            <w:r>
              <w:rPr>
                <w:rFonts w:ascii="Calibri" w:hAnsi="Calibri" w:eastAsia="Calibri"/>
                <w:b w:val="0"/>
                <w:i w:val="0"/>
                <w:color w:val="1A1A1A"/>
                <w:sz w:val="20"/>
              </w:rPr>
              <w:t>1 November 2026</w:t>
            </w:r>
          </w:p>
        </w:tc>
        <w:tc>
          <w:tcPr>
            <w:tcW w:w="1600" w:type="dxa"/>
            <w:shd w:fill="F4E4C4" w:val="clear"/>
            <w:vAlign w:val="center"/>
          </w:tcPr>
          <w:p>
            <w:pPr>
              <w:spacing w:before="20" w:after="20" w:line="252" w:lineRule="auto"/>
            </w:pPr>
            <w:r/>
            <w:r>
              <w:rPr>
                <w:rFonts w:ascii="Calibri" w:hAnsi="Calibri" w:eastAsia="Calibri"/>
                <w:b/>
                <w:i w:val="0"/>
                <w:color w:val="1A1A1A"/>
                <w:sz w:val="20"/>
              </w:rPr>
              <w:t>To Do</w:t>
            </w:r>
          </w:p>
        </w:tc>
      </w:tr>
      <w:tr>
        <w:trPr>
          <w:cantSplit/>
        </w:trPr>
        <w:tc>
          <w:tcPr>
            <w:tcW w:w="800" w:type="dxa"/>
            <w:shd w:fill="FFFFFF" w:val="clear"/>
            <w:vAlign w:val="center"/>
          </w:tcPr>
          <w:p>
            <w:pPr>
              <w:spacing w:before="20" w:after="20" w:line="252" w:lineRule="auto"/>
            </w:pPr>
            <w:r/>
            <w:r>
              <w:rPr>
                <w:rFonts w:ascii="Calibri" w:hAnsi="Calibri" w:eastAsia="Calibri"/>
                <w:b/>
                <w:i w:val="0"/>
                <w:color w:val="1A1A1A"/>
                <w:sz w:val="20"/>
              </w:rPr>
              <w:t>RL</w:t>
            </w:r>
          </w:p>
        </w:tc>
        <w:tc>
          <w:tcPr>
            <w:tcW w:w="4780" w:type="dxa"/>
            <w:shd w:fill="FFFFFF" w:val="clear"/>
            <w:vAlign w:val="center"/>
          </w:tcPr>
          <w:p>
            <w:pPr>
              <w:spacing w:before="20" w:after="20" w:line="252" w:lineRule="auto"/>
            </w:pPr>
            <w:r/>
            <w:r>
              <w:rPr>
                <w:rFonts w:ascii="Calibri" w:hAnsi="Calibri" w:eastAsia="Calibri"/>
                <w:b w:val="0"/>
                <w:i w:val="0"/>
                <w:color w:val="1A1A1A"/>
                <w:sz w:val="20"/>
              </w:rPr>
              <w:t>Review the project-plan status and plan Part 4 — how and when to migrate / convert.</w:t>
            </w:r>
          </w:p>
        </w:tc>
        <w:tc>
          <w:tcPr>
            <w:tcW w:w="2900" w:type="dxa"/>
            <w:shd w:fill="FFFFFF" w:val="clear"/>
            <w:vAlign w:val="center"/>
          </w:tcPr>
          <w:p>
            <w:pPr>
              <w:spacing w:before="20" w:after="20" w:line="252" w:lineRule="auto"/>
            </w:pPr>
            <w:r/>
            <w:r>
              <w:rPr>
                <w:rFonts w:ascii="Calibri" w:hAnsi="Calibri" w:eastAsia="Calibri"/>
                <w:b w:val="0"/>
                <w:i w:val="0"/>
                <w:color w:val="1A1A1A"/>
                <w:sz w:val="20"/>
              </w:rPr>
              <w:t>30 November 2026</w:t>
            </w:r>
          </w:p>
        </w:tc>
        <w:tc>
          <w:tcPr>
            <w:tcW w:w="1600" w:type="dxa"/>
            <w:shd w:fill="F4E4C4" w:val="clear"/>
            <w:vAlign w:val="center"/>
          </w:tcPr>
          <w:p>
            <w:pPr>
              <w:spacing w:before="20" w:after="20" w:line="252" w:lineRule="auto"/>
            </w:pPr>
            <w:r/>
            <w:r>
              <w:rPr>
                <w:rFonts w:ascii="Calibri" w:hAnsi="Calibri" w:eastAsia="Calibri"/>
                <w:b/>
                <w:i w:val="0"/>
                <w:color w:val="1A1A1A"/>
                <w:sz w:val="20"/>
              </w:rPr>
              <w:t>To Do</w:t>
            </w:r>
          </w:p>
        </w:tc>
      </w:tr>
      <w:tr>
        <w:trPr>
          <w:cantSplit/>
        </w:trPr>
        <w:tc>
          <w:tcPr>
            <w:tcW w:w="800" w:type="dxa"/>
            <w:shd w:fill="F4F7F4" w:val="clear"/>
            <w:vAlign w:val="center"/>
          </w:tcPr>
          <w:p>
            <w:pPr>
              <w:spacing w:before="20" w:after="20" w:line="252" w:lineRule="auto"/>
            </w:pPr>
            <w:r/>
            <w:r>
              <w:rPr>
                <w:rFonts w:ascii="Calibri" w:hAnsi="Calibri" w:eastAsia="Calibri"/>
                <w:b/>
                <w:i w:val="0"/>
                <w:color w:val="1A1A1A"/>
                <w:sz w:val="20"/>
              </w:rPr>
              <w:t>CS</w:t>
            </w:r>
          </w:p>
        </w:tc>
        <w:tc>
          <w:tcPr>
            <w:tcW w:w="4780" w:type="dxa"/>
            <w:shd w:fill="F4F7F4" w:val="clear"/>
            <w:vAlign w:val="center"/>
          </w:tcPr>
          <w:p>
            <w:pPr>
              <w:spacing w:before="20" w:after="20" w:line="252" w:lineRule="auto"/>
            </w:pPr>
            <w:r/>
            <w:r>
              <w:rPr>
                <w:rFonts w:ascii="Calibri" w:hAnsi="Calibri" w:eastAsia="Calibri"/>
                <w:b w:val="0"/>
                <w:i w:val="0"/>
                <w:color w:val="1A1A1A"/>
                <w:sz w:val="20"/>
              </w:rPr>
              <w:t>BK presents the project plan. Collect feedback and allocate tasks.</w:t>
            </w:r>
          </w:p>
        </w:tc>
        <w:tc>
          <w:tcPr>
            <w:tcW w:w="2900" w:type="dxa"/>
            <w:shd w:fill="F4F7F4" w:val="clear"/>
            <w:vAlign w:val="center"/>
          </w:tcPr>
          <w:p>
            <w:pPr>
              <w:spacing w:before="20" w:after="20" w:line="252" w:lineRule="auto"/>
            </w:pPr>
            <w:r/>
            <w:r>
              <w:rPr>
                <w:rFonts w:ascii="Calibri" w:hAnsi="Calibri" w:eastAsia="Calibri"/>
                <w:b w:val="0"/>
                <w:i w:val="0"/>
                <w:color w:val="1A1A1A"/>
                <w:sz w:val="20"/>
              </w:rPr>
              <w:t>19 November 2026</w:t>
            </w:r>
          </w:p>
        </w:tc>
        <w:tc>
          <w:tcPr>
            <w:tcW w:w="1600" w:type="dxa"/>
            <w:shd w:fill="F4E4C4" w:val="clear"/>
            <w:vAlign w:val="center"/>
          </w:tcPr>
          <w:p>
            <w:pPr>
              <w:spacing w:before="20" w:after="20" w:line="252" w:lineRule="auto"/>
            </w:pPr>
            <w:r/>
            <w:r>
              <w:rPr>
                <w:rFonts w:ascii="Calibri" w:hAnsi="Calibri" w:eastAsia="Calibri"/>
                <w:b/>
                <w:i w:val="0"/>
                <w:color w:val="1A1A1A"/>
                <w:sz w:val="20"/>
              </w:rPr>
              <w:t>To Do</w:t>
            </w:r>
          </w:p>
        </w:tc>
      </w:tr>
    </w:tbl>
    <w:p>
      <w:pPr>
        <w:spacing w:before="120" w:after="120" w:line="269" w:lineRule="auto"/>
      </w:pPr>
      <w:r>
        <w:rPr>
          <w:rFonts w:ascii="Calibri" w:hAnsi="Calibri" w:eastAsia="Calibri"/>
          <w:b w:val="0"/>
          <w:i/>
          <w:color w:val="3D4A42"/>
          <w:sz w:val="18"/>
        </w:rPr>
        <w:t>Part numbering in this version: Part 1 is status today, Part 2 is the ideal structure, Part 3 is symptoms and problems today, and Part 4 is how and when to migrate / convert. RL’s migration work sits in Part 4.</w:t>
      </w:r>
    </w:p>
    <w:p>
      <w:pPr>
        <w:pStyle w:val="Heading1"/>
        <w:spacing w:before="280" w:after="80"/>
      </w:pPr>
      <w:r>
        <w:rPr>
          <w:rFonts w:ascii="Calibri" w:hAnsi="Calibri" w:eastAsia="Calibri"/>
          <w:color w:val="1B4D3E"/>
        </w:rPr>
        <w:t>Project objective and introduction</w:t>
      </w:r>
    </w:p>
    <w:p>
      <w:pPr>
        <w:spacing w:before="120" w:after="120" w:line="269" w:lineRule="auto"/>
      </w:pPr>
      <w:r>
        <w:rPr>
          <w:rFonts w:ascii="Calibri" w:hAnsi="Calibri" w:eastAsia="Calibri"/>
          <w:b w:val="0"/>
          <w:i w:val="0"/>
          <w:color w:val="1A1A1A"/>
          <w:sz w:val="22"/>
        </w:rPr>
        <w:t>The objective is a simple, transparent job and pay structure for an 18-hole golf club that is open 365 days a year, covering both the golf operation and the restaurant. The club should be able to say, for each job, what the job is accountable for, which grade it sits in, what the pay band is, and how that band will be reviewed. The same rules should apply when managers change.</w:t>
      </w:r>
    </w:p>
    <w:p>
      <w:pPr>
        <w:spacing w:before="120" w:after="120" w:line="269" w:lineRule="auto"/>
      </w:pPr>
      <w:r>
        <w:rPr>
          <w:rFonts w:ascii="Calibri" w:hAnsi="Calibri" w:eastAsia="Calibri"/>
          <w:b w:val="0"/>
          <w:i w:val="0"/>
          <w:color w:val="1A1A1A"/>
          <w:sz w:val="22"/>
        </w:rPr>
        <w:t>The practical aim, taken from the Board note now folded into this plan, is to manage staff more professionally and more personally without becoming bureaucratic: clear delegation, a visible link between the job and the business, and reward that is both financial and about satisfaction in the work. With about 40 people, each person can be shown where they fit. The note’s own judgement is that the club is not far away on the people it has. The gap is how those people are managed and motivated.</w:t>
      </w:r>
    </w:p>
    <w:p>
      <w:pPr>
        <w:spacing w:before="120" w:after="80" w:line="269" w:lineRule="auto"/>
      </w:pPr>
      <w:r>
        <w:rPr>
          <w:rFonts w:ascii="Calibri" w:hAnsi="Calibri" w:eastAsia="Calibri"/>
          <w:b w:val="0"/>
          <w:i w:val="0"/>
          <w:color w:val="1A1A1A"/>
          <w:sz w:val="22"/>
        </w:rPr>
        <w:t>This version separates that work into four parts, so current facts are not mixed with proposals.</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800"/>
        <w:gridCol w:w="4880"/>
        <w:gridCol w:w="2400"/>
      </w:tblGrid>
      <w:tr>
        <w:trPr>
          <w:tblHeader/>
          <w:cantSplit/>
        </w:trPr>
        <w:tc>
          <w:tcPr>
            <w:tcW w:w="2800" w:type="dxa"/>
            <w:shd w:fill="1B4D3E" w:val="clear"/>
            <w:vAlign w:val="center"/>
          </w:tcPr>
          <w:p>
            <w:pPr>
              <w:spacing w:before="20" w:after="20" w:line="252" w:lineRule="auto"/>
            </w:pPr>
            <w:r/>
            <w:r>
              <w:rPr>
                <w:rFonts w:ascii="Calibri" w:hAnsi="Calibri" w:eastAsia="Calibri"/>
                <w:b/>
                <w:i w:val="0"/>
                <w:color w:val="FFFFFF"/>
                <w:sz w:val="19"/>
              </w:rPr>
              <w:t>Part</w:t>
            </w:r>
          </w:p>
        </w:tc>
        <w:tc>
          <w:tcPr>
            <w:tcW w:w="4880" w:type="dxa"/>
            <w:shd w:fill="1B4D3E" w:val="clear"/>
            <w:vAlign w:val="center"/>
          </w:tcPr>
          <w:p>
            <w:pPr>
              <w:spacing w:before="20" w:after="20" w:line="252" w:lineRule="auto"/>
            </w:pPr>
            <w:r/>
            <w:r>
              <w:rPr>
                <w:rFonts w:ascii="Calibri" w:hAnsi="Calibri" w:eastAsia="Calibri"/>
                <w:b/>
                <w:i w:val="0"/>
                <w:color w:val="FFFFFF"/>
                <w:sz w:val="19"/>
              </w:rPr>
              <w:t>Question it answers</w:t>
            </w:r>
          </w:p>
        </w:tc>
        <w:tc>
          <w:tcPr>
            <w:tcW w:w="2400" w:type="dxa"/>
            <w:shd w:fill="1B4D3E" w:val="clear"/>
            <w:vAlign w:val="center"/>
          </w:tcPr>
          <w:p>
            <w:pPr>
              <w:spacing w:before="20" w:after="20" w:line="252" w:lineRule="auto"/>
            </w:pPr>
            <w:r/>
            <w:r>
              <w:rPr>
                <w:rFonts w:ascii="Calibri" w:hAnsi="Calibri" w:eastAsia="Calibri"/>
                <w:b/>
                <w:i w:val="0"/>
                <w:color w:val="FFFFFF"/>
                <w:sz w:val="19"/>
              </w:rPr>
              <w:t>Owner</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9"/>
              </w:rPr>
              <w:t>Part 1 — Status today</w:t>
            </w:r>
          </w:p>
        </w:tc>
        <w:tc>
          <w:tcPr>
            <w:tcW w:w="4880" w:type="dxa"/>
            <w:shd w:fill="FFFFFF" w:val="clear"/>
            <w:vAlign w:val="center"/>
          </w:tcPr>
          <w:p>
            <w:pPr>
              <w:spacing w:before="20" w:after="20" w:line="252" w:lineRule="auto"/>
            </w:pPr>
            <w:r/>
            <w:r>
              <w:rPr>
                <w:rFonts w:ascii="Calibri" w:hAnsi="Calibri" w:eastAsia="Calibri"/>
                <w:b w:val="0"/>
                <w:i w:val="0"/>
                <w:color w:val="1A1A1A"/>
                <w:sz w:val="19"/>
              </w:rPr>
              <w:t>What do we actually have: people, pay, contracts and cost?</w:t>
            </w:r>
          </w:p>
        </w:tc>
        <w:tc>
          <w:tcPr>
            <w:tcW w:w="2400" w:type="dxa"/>
            <w:shd w:fill="FFFFFF" w:val="clear"/>
            <w:vAlign w:val="center"/>
          </w:tcPr>
          <w:p>
            <w:pPr>
              <w:spacing w:before="20" w:after="20" w:line="252" w:lineRule="auto"/>
            </w:pPr>
            <w:r/>
            <w:r>
              <w:rPr>
                <w:rFonts w:ascii="Calibri" w:hAnsi="Calibri" w:eastAsia="Calibri"/>
                <w:b w:val="0"/>
                <w:i w:val="0"/>
                <w:color w:val="1A1A1A"/>
                <w:sz w:val="19"/>
              </w:rPr>
              <w:t>CG, by 1 November 2026</w:t>
            </w:r>
          </w:p>
        </w:tc>
      </w:tr>
      <w:tr>
        <w:trPr>
          <w:cantSplit/>
        </w:trPr>
        <w:tc>
          <w:tcPr>
            <w:tcW w:w="2800" w:type="dxa"/>
            <w:shd w:fill="F4F7F4" w:val="clear"/>
            <w:vAlign w:val="center"/>
          </w:tcPr>
          <w:p>
            <w:pPr>
              <w:spacing w:before="20" w:after="20" w:line="252" w:lineRule="auto"/>
            </w:pPr>
            <w:r/>
            <w:r>
              <w:rPr>
                <w:rFonts w:ascii="Calibri" w:hAnsi="Calibri" w:eastAsia="Calibri"/>
                <w:b w:val="0"/>
                <w:i w:val="0"/>
                <w:color w:val="1A1A1A"/>
                <w:sz w:val="19"/>
              </w:rPr>
              <w:t>Part 2 — Ideal new structure</w:t>
            </w:r>
          </w:p>
        </w:tc>
        <w:tc>
          <w:tcPr>
            <w:tcW w:w="4880" w:type="dxa"/>
            <w:shd w:fill="F4F7F4" w:val="clear"/>
            <w:vAlign w:val="center"/>
          </w:tcPr>
          <w:p>
            <w:pPr>
              <w:spacing w:before="20" w:after="20" w:line="252" w:lineRule="auto"/>
            </w:pPr>
            <w:r/>
            <w:r>
              <w:rPr>
                <w:rFonts w:ascii="Calibri" w:hAnsi="Calibri" w:eastAsia="Calibri"/>
                <w:b w:val="0"/>
                <w:i w:val="0"/>
                <w:color w:val="1A1A1A"/>
                <w:sz w:val="19"/>
              </w:rPr>
              <w:t>What organisation, grades and pay bands are we aiming for?</w:t>
            </w:r>
          </w:p>
        </w:tc>
        <w:tc>
          <w:tcPr>
            <w:tcW w:w="2400" w:type="dxa"/>
            <w:shd w:fill="F4F7F4" w:val="clear"/>
            <w:vAlign w:val="center"/>
          </w:tcPr>
          <w:p>
            <w:pPr>
              <w:spacing w:before="20" w:after="20" w:line="252" w:lineRule="auto"/>
            </w:pPr>
            <w:r/>
            <w:r>
              <w:rPr>
                <w:rFonts w:ascii="Calibri" w:hAnsi="Calibri" w:eastAsia="Calibri"/>
                <w:b w:val="0"/>
                <w:i w:val="0"/>
                <w:color w:val="1A1A1A"/>
                <w:sz w:val="19"/>
              </w:rPr>
              <w:t>Proposal for discussion</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9"/>
              </w:rPr>
              <w:t>Part 3 — Symptoms and problems today</w:t>
            </w:r>
          </w:p>
        </w:tc>
        <w:tc>
          <w:tcPr>
            <w:tcW w:w="4880" w:type="dxa"/>
            <w:shd w:fill="FFFFFF" w:val="clear"/>
            <w:vAlign w:val="center"/>
          </w:tcPr>
          <w:p>
            <w:pPr>
              <w:spacing w:before="20" w:after="20" w:line="252" w:lineRule="auto"/>
            </w:pPr>
            <w:r/>
            <w:r>
              <w:rPr>
                <w:rFonts w:ascii="Calibri" w:hAnsi="Calibri" w:eastAsia="Calibri"/>
                <w:b w:val="0"/>
                <w:i w:val="0"/>
                <w:color w:val="1A1A1A"/>
                <w:sz w:val="19"/>
              </w:rPr>
              <w:t>What is not working, and what judgement still has to be tested?</w:t>
            </w:r>
          </w:p>
        </w:tc>
        <w:tc>
          <w:tcPr>
            <w:tcW w:w="2400" w:type="dxa"/>
            <w:shd w:fill="FFFFFF" w:val="clear"/>
            <w:vAlign w:val="center"/>
          </w:tcPr>
          <w:p>
            <w:pPr>
              <w:spacing w:before="20" w:after="20" w:line="252" w:lineRule="auto"/>
            </w:pPr>
            <w:r/>
            <w:r>
              <w:rPr>
                <w:rFonts w:ascii="Calibri" w:hAnsi="Calibri" w:eastAsia="Calibri"/>
                <w:b w:val="0"/>
                <w:i w:val="0"/>
                <w:color w:val="1A1A1A"/>
                <w:sz w:val="19"/>
              </w:rPr>
              <w:t>CS to discuss</w:t>
            </w:r>
          </w:p>
        </w:tc>
      </w:tr>
      <w:tr>
        <w:trPr>
          <w:cantSplit/>
        </w:trPr>
        <w:tc>
          <w:tcPr>
            <w:tcW w:w="2800" w:type="dxa"/>
            <w:shd w:fill="F4F7F4" w:val="clear"/>
            <w:vAlign w:val="center"/>
          </w:tcPr>
          <w:p>
            <w:pPr>
              <w:spacing w:before="20" w:after="20" w:line="252" w:lineRule="auto"/>
            </w:pPr>
            <w:r/>
            <w:r>
              <w:rPr>
                <w:rFonts w:ascii="Calibri" w:hAnsi="Calibri" w:eastAsia="Calibri"/>
                <w:b w:val="0"/>
                <w:i w:val="0"/>
                <w:color w:val="1A1A1A"/>
                <w:sz w:val="19"/>
              </w:rPr>
              <w:t>Part 4 — How and when to migrate / convert</w:t>
            </w:r>
          </w:p>
        </w:tc>
        <w:tc>
          <w:tcPr>
            <w:tcW w:w="4880" w:type="dxa"/>
            <w:shd w:fill="F4F7F4" w:val="clear"/>
            <w:vAlign w:val="center"/>
          </w:tcPr>
          <w:p>
            <w:pPr>
              <w:spacing w:before="20" w:after="20" w:line="252" w:lineRule="auto"/>
            </w:pPr>
            <w:r/>
            <w:r>
              <w:rPr>
                <w:rFonts w:ascii="Calibri" w:hAnsi="Calibri" w:eastAsia="Calibri"/>
                <w:b w:val="0"/>
                <w:i w:val="0"/>
                <w:color w:val="1A1A1A"/>
                <w:sz w:val="19"/>
              </w:rPr>
              <w:t>In what order, on what dates, and with whose approval do we move?</w:t>
            </w:r>
          </w:p>
        </w:tc>
        <w:tc>
          <w:tcPr>
            <w:tcW w:w="2400" w:type="dxa"/>
            <w:shd w:fill="F4F7F4" w:val="clear"/>
            <w:vAlign w:val="center"/>
          </w:tcPr>
          <w:p>
            <w:pPr>
              <w:spacing w:before="20" w:after="20" w:line="252" w:lineRule="auto"/>
            </w:pPr>
            <w:r/>
            <w:r>
              <w:rPr>
                <w:rFonts w:ascii="Calibri" w:hAnsi="Calibri" w:eastAsia="Calibri"/>
                <w:b w:val="0"/>
                <w:i w:val="0"/>
                <w:color w:val="1A1A1A"/>
                <w:sz w:val="19"/>
              </w:rPr>
              <w:t>RL, by 30 November 2026</w:t>
            </w:r>
          </w:p>
        </w:tc>
      </w:tr>
    </w:tbl>
    <w:p>
      <w:pPr>
        <w:spacing w:before="240" w:after="80" w:line="269" w:lineRule="auto"/>
      </w:pPr>
      <w:r>
        <w:rPr>
          <w:rFonts w:ascii="Calibri" w:hAnsi="Calibri" w:eastAsia="Calibri"/>
          <w:b/>
          <w:i w:val="0"/>
          <w:color w:val="1B4D3E"/>
          <w:sz w:val="24"/>
        </w:rPr>
        <w:t>Status of the content</w:t>
      </w:r>
    </w:p>
    <w:p>
      <w:pPr>
        <w:pStyle w:val="ListBullet"/>
        <w:spacing w:before="20" w:after="20"/>
        <w:ind w:left="567"/>
      </w:pPr>
      <w:r>
        <w:rPr>
          <w:rFonts w:ascii="Calibri" w:hAnsi="Calibri" w:eastAsia="Calibri"/>
          <w:color w:val="1A1A1A"/>
          <w:sz w:val="22"/>
        </w:rPr>
        <w:t>Salary ranges are indicative budgeting figures for full-time roles on the Costa del Sol. They are not a verified local-market survey, not legal minimums, and not an instruction to change anyone’s pay.</w:t>
      </w:r>
    </w:p>
    <w:p>
      <w:pPr>
        <w:pStyle w:val="ListBullet"/>
        <w:spacing w:before="20" w:after="20"/>
        <w:ind w:left="567"/>
      </w:pPr>
      <w:r>
        <w:rPr>
          <w:rFonts w:ascii="Calibri" w:hAnsi="Calibri" w:eastAsia="Calibri"/>
          <w:color w:val="1A1A1A"/>
          <w:sz w:val="22"/>
        </w:rPr>
        <w:t>The total of about 40 people may be approximate. Listed posts have not been reconciled to that total. Headcount and full-time equivalents still have to be confirmed. CG to check.</w:t>
      </w:r>
    </w:p>
    <w:p>
      <w:pPr>
        <w:pStyle w:val="ListBullet"/>
        <w:spacing w:before="20" w:after="20"/>
        <w:ind w:left="567"/>
      </w:pPr>
      <w:r>
        <w:rPr>
          <w:rFonts w:ascii="Calibri" w:hAnsi="Calibri" w:eastAsia="Calibri"/>
          <w:color w:val="1A1A1A"/>
          <w:sz w:val="22"/>
        </w:rPr>
        <w:t>Personal salary data stays restricted to the people authorised to see it. The registers in this plan are job-level templates, not a published payroll.</w:t>
      </w:r>
    </w:p>
    <w:p>
      <w:pPr>
        <w:pStyle w:val="ListBullet"/>
        <w:spacing w:before="20" w:after="20"/>
        <w:ind w:left="567"/>
      </w:pPr>
      <w:r>
        <w:rPr>
          <w:rFonts w:ascii="Calibri" w:hAnsi="Calibri" w:eastAsia="Calibri"/>
          <w:color w:val="1A1A1A"/>
          <w:sz w:val="22"/>
        </w:rPr>
        <w:t>A remuneration committee is proposed, not formed. Market position, variable pay and a payroll ceiling are Board decisions, not management assumptions.</w:t>
      </w:r>
    </w:p>
    <w:p>
      <w:pPr>
        <w:pStyle w:val="Heading1"/>
        <w:spacing w:before="280" w:after="80"/>
      </w:pPr>
      <w:r>
        <w:rPr>
          <w:rFonts w:ascii="Calibri" w:hAnsi="Calibri" w:eastAsia="Calibri"/>
          <w:color w:val="1B4D3E"/>
        </w:rPr>
        <w:t>Part 1 — Status today</w:t>
      </w:r>
    </w:p>
    <w:p>
      <w:pPr>
        <w:spacing w:before="80" w:after="80" w:line="269" w:lineRule="auto"/>
      </w:pPr>
      <w:r>
        <w:rPr>
          <w:rFonts w:ascii="Calibri" w:hAnsi="Calibri" w:eastAsia="Calibri"/>
          <w:b/>
          <w:i w:val="0"/>
          <w:color w:val="1A1A1A"/>
          <w:sz w:val="22"/>
        </w:rPr>
        <w:t xml:space="preserve">Owner: CG, by 1 November 2026. </w:t>
      </w:r>
      <w:r>
        <w:rPr>
          <w:rFonts w:ascii="Calibri" w:hAnsi="Calibri" w:eastAsia="Calibri"/>
          <w:b w:val="0"/>
          <w:i w:val="0"/>
          <w:color w:val="1A1A1A"/>
          <w:sz w:val="22"/>
        </w:rPr>
        <w:t>This part records the working baseline. Blank cells are still to be filled. Do not treat any table here as a census.</w:t>
      </w:r>
    </w:p>
    <w:p>
      <w:pPr>
        <w:pStyle w:val="Heading2"/>
        <w:spacing w:before="200" w:after="80"/>
      </w:pPr>
      <w:r>
        <w:rPr>
          <w:rFonts w:ascii="Calibri" w:hAnsi="Calibri" w:eastAsia="Calibri"/>
          <w:color w:val="1F3D32"/>
        </w:rPr>
        <w:t>1.1 Club profile</w:t>
      </w:r>
    </w:p>
    <w:p>
      <w:pPr>
        <w:spacing w:before="120" w:after="120" w:line="269" w:lineRule="auto"/>
      </w:pPr>
      <w:r>
        <w:rPr>
          <w:rFonts w:ascii="Calibri" w:hAnsi="Calibri" w:eastAsia="Calibri"/>
          <w:b w:val="0"/>
          <w:i w:val="0"/>
          <w:color w:val="1A1A1A"/>
          <w:sz w:val="22"/>
        </w:rPr>
        <w:t>Several turnover figures are in the working papers and they do not yet agree. All of them stay visible until the accounts confirm one number.</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400"/>
        <w:gridCol w:w="3840"/>
        <w:gridCol w:w="3840"/>
      </w:tblGrid>
      <w:tr>
        <w:trPr>
          <w:tblHeader/>
          <w:cantSplit/>
        </w:trPr>
        <w:tc>
          <w:tcPr>
            <w:tcW w:w="2400" w:type="dxa"/>
            <w:shd w:fill="1B4D3E" w:val="clear"/>
            <w:vAlign w:val="center"/>
          </w:tcPr>
          <w:p>
            <w:pPr>
              <w:spacing w:before="20" w:after="20" w:line="252" w:lineRule="auto"/>
            </w:pPr>
            <w:r/>
            <w:r>
              <w:rPr>
                <w:rFonts w:ascii="Calibri" w:hAnsi="Calibri" w:eastAsia="Calibri"/>
                <w:b/>
                <w:i w:val="0"/>
                <w:color w:val="FFFFFF"/>
                <w:sz w:val="18"/>
              </w:rPr>
              <w:t>Measure</w:t>
            </w:r>
          </w:p>
        </w:tc>
        <w:tc>
          <w:tcPr>
            <w:tcW w:w="3840" w:type="dxa"/>
            <w:shd w:fill="1B4D3E" w:val="clear"/>
            <w:vAlign w:val="center"/>
          </w:tcPr>
          <w:p>
            <w:pPr>
              <w:spacing w:before="20" w:after="20" w:line="252" w:lineRule="auto"/>
            </w:pPr>
            <w:r/>
            <w:r>
              <w:rPr>
                <w:rFonts w:ascii="Calibri" w:hAnsi="Calibri" w:eastAsia="Calibri"/>
                <w:b/>
                <w:i w:val="0"/>
                <w:color w:val="FFFFFF"/>
                <w:sz w:val="18"/>
              </w:rPr>
              <w:t>Figure in the working papers</w:t>
            </w:r>
          </w:p>
        </w:tc>
        <w:tc>
          <w:tcPr>
            <w:tcW w:w="3840" w:type="dxa"/>
            <w:shd w:fill="1B4D3E" w:val="clear"/>
            <w:vAlign w:val="center"/>
          </w:tcPr>
          <w:p>
            <w:pPr>
              <w:spacing w:before="20" w:after="20" w:line="252" w:lineRule="auto"/>
            </w:pPr>
            <w:r/>
            <w:r>
              <w:rPr>
                <w:rFonts w:ascii="Calibri" w:hAnsi="Calibri" w:eastAsia="Calibri"/>
                <w:b/>
                <w:i w:val="0"/>
                <w:color w:val="FFFFFF"/>
                <w:sz w:val="18"/>
              </w:rPr>
              <w:t>Still to confirm</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Course</w:t>
            </w:r>
          </w:p>
        </w:tc>
        <w:tc>
          <w:tcPr>
            <w:tcW w:w="3840" w:type="dxa"/>
            <w:shd w:fill="FFFFFF" w:val="clear"/>
            <w:vAlign w:val="center"/>
          </w:tcPr>
          <w:p>
            <w:pPr>
              <w:spacing w:before="20" w:after="20" w:line="252" w:lineRule="auto"/>
            </w:pPr>
            <w:r/>
            <w:r>
              <w:rPr>
                <w:rFonts w:ascii="Calibri" w:hAnsi="Calibri" w:eastAsia="Calibri"/>
                <w:b w:val="0"/>
                <w:i w:val="0"/>
                <w:color w:val="1A1A1A"/>
                <w:sz w:val="18"/>
              </w:rPr>
              <w:t>18 holes; open 365 days a year</w:t>
            </w:r>
          </w:p>
        </w:tc>
        <w:tc>
          <w:tcPr>
            <w:tcW w:w="3840" w:type="dxa"/>
            <w:shd w:fill="FFFFFF" w:val="clear"/>
            <w:vAlign w:val="center"/>
          </w:tcPr>
          <w:p>
            <w:pPr>
              <w:spacing w:before="20" w:after="20" w:line="252" w:lineRule="auto"/>
            </w:pPr>
            <w:r/>
            <w:r>
              <w:rPr>
                <w:rFonts w:ascii="Calibri" w:hAnsi="Calibri" w:eastAsia="Calibri"/>
                <w:b w:val="0"/>
                <w:i w:val="0"/>
                <w:color w:val="1A1A1A"/>
                <w:sz w:val="18"/>
              </w:rPr>
              <w:t>—</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Annual rounds</w:t>
            </w:r>
          </w:p>
        </w:tc>
        <w:tc>
          <w:tcPr>
            <w:tcW w:w="3840" w:type="dxa"/>
            <w:shd w:fill="F4F7F4" w:val="clear"/>
            <w:vAlign w:val="center"/>
          </w:tcPr>
          <w:p>
            <w:pPr>
              <w:spacing w:before="20" w:after="20" w:line="252" w:lineRule="auto"/>
            </w:pPr>
            <w:r/>
            <w:r>
              <w:rPr>
                <w:rFonts w:ascii="Calibri" w:hAnsi="Calibri" w:eastAsia="Calibri"/>
                <w:b w:val="0"/>
                <w:i w:val="0"/>
                <w:color w:val="1A1A1A"/>
                <w:sz w:val="18"/>
              </w:rPr>
              <w:t>About 50,000</w:t>
            </w:r>
          </w:p>
        </w:tc>
        <w:tc>
          <w:tcPr>
            <w:tcW w:w="3840" w:type="dxa"/>
            <w:shd w:fill="F4F7F4" w:val="clear"/>
            <w:vAlign w:val="center"/>
          </w:tcPr>
          <w:p>
            <w:pPr>
              <w:spacing w:before="20" w:after="20" w:line="252" w:lineRule="auto"/>
            </w:pPr>
            <w:r/>
            <w:r>
              <w:rPr>
                <w:rFonts w:ascii="Calibri" w:hAnsi="Calibri" w:eastAsia="Calibri"/>
                <w:b w:val="0"/>
                <w:i w:val="0"/>
                <w:color w:val="1A1A1A"/>
                <w:sz w:val="18"/>
              </w:rPr>
              <w:t>Reporting period, and whether replay and complimentary rounds are included.</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Members</w:t>
            </w:r>
          </w:p>
        </w:tc>
        <w:tc>
          <w:tcPr>
            <w:tcW w:w="3840" w:type="dxa"/>
            <w:shd w:fill="FFFFFF" w:val="clear"/>
            <w:vAlign w:val="center"/>
          </w:tcPr>
          <w:p>
            <w:pPr>
              <w:spacing w:before="20" w:after="20" w:line="252" w:lineRule="auto"/>
            </w:pPr>
            <w:r/>
            <w:r>
              <w:rPr>
                <w:rFonts w:ascii="Calibri" w:hAnsi="Calibri" w:eastAsia="Calibri"/>
                <w:b w:val="0"/>
                <w:i w:val="0"/>
                <w:color w:val="1A1A1A"/>
                <w:sz w:val="18"/>
              </w:rPr>
              <w:t>About 650</w:t>
            </w:r>
          </w:p>
        </w:tc>
        <w:tc>
          <w:tcPr>
            <w:tcW w:w="3840" w:type="dxa"/>
            <w:shd w:fill="FFFFFF" w:val="clear"/>
            <w:vAlign w:val="center"/>
          </w:tcPr>
          <w:p>
            <w:pPr>
              <w:spacing w:before="20" w:after="20" w:line="252" w:lineRule="auto"/>
            </w:pPr>
            <w:r/>
            <w:r>
              <w:rPr>
                <w:rFonts w:ascii="Calibri" w:hAnsi="Calibri" w:eastAsia="Calibri"/>
                <w:b w:val="0"/>
                <w:i w:val="0"/>
                <w:color w:val="1A1A1A"/>
                <w:sz w:val="18"/>
              </w:rPr>
              <w:t>Membership categories and the number of active members.</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Turnover — profile note</w:t>
            </w:r>
          </w:p>
        </w:tc>
        <w:tc>
          <w:tcPr>
            <w:tcW w:w="3840" w:type="dxa"/>
            <w:shd w:fill="F4F7F4" w:val="clear"/>
            <w:vAlign w:val="center"/>
          </w:tcPr>
          <w:p>
            <w:pPr>
              <w:spacing w:before="20" w:after="20" w:line="252" w:lineRule="auto"/>
            </w:pPr>
            <w:r/>
            <w:r>
              <w:rPr>
                <w:rFonts w:ascii="Calibri" w:hAnsi="Calibri" w:eastAsia="Calibri"/>
                <w:b w:val="0"/>
                <w:i w:val="0"/>
                <w:color w:val="1A1A1A"/>
                <w:sz w:val="18"/>
              </w:rPr>
              <w:t>About €3.8 million, of which the golf course is about €3 million</w:t>
            </w:r>
          </w:p>
        </w:tc>
        <w:tc>
          <w:tcPr>
            <w:tcW w:w="3840" w:type="dxa"/>
            <w:shd w:fill="F4F7F4" w:val="clear"/>
            <w:vAlign w:val="center"/>
          </w:tcPr>
          <w:p>
            <w:pPr>
              <w:spacing w:before="20" w:after="20" w:line="252" w:lineRule="auto"/>
            </w:pPr>
            <w:r/>
            <w:r>
              <w:rPr>
                <w:rFonts w:ascii="Calibri" w:hAnsi="Calibri" w:eastAsia="Calibri"/>
                <w:b w:val="0"/>
                <w:i w:val="0"/>
                <w:color w:val="1A1A1A"/>
                <w:sz w:val="18"/>
              </w:rPr>
              <w:t>CG to check the split between golf and restaurant.</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Turnover — v1 baseline table</w:t>
            </w:r>
          </w:p>
        </w:tc>
        <w:tc>
          <w:tcPr>
            <w:tcW w:w="3840" w:type="dxa"/>
            <w:shd w:fill="FFFFFF" w:val="clear"/>
            <w:vAlign w:val="center"/>
          </w:tcPr>
          <w:p>
            <w:pPr>
              <w:spacing w:before="20" w:after="20" w:line="252" w:lineRule="auto"/>
            </w:pPr>
            <w:r/>
            <w:r>
              <w:rPr>
                <w:rFonts w:ascii="Calibri" w:hAnsi="Calibri" w:eastAsia="Calibri"/>
                <w:b w:val="0"/>
                <w:i w:val="0"/>
                <w:color w:val="1A1A1A"/>
                <w:sz w:val="18"/>
              </w:rPr>
              <w:t>€4 million</w:t>
            </w:r>
          </w:p>
        </w:tc>
        <w:tc>
          <w:tcPr>
            <w:tcW w:w="3840" w:type="dxa"/>
            <w:shd w:fill="FFFFFF" w:val="clear"/>
            <w:vAlign w:val="center"/>
          </w:tcPr>
          <w:p>
            <w:pPr>
              <w:spacing w:before="20" w:after="20" w:line="252" w:lineRule="auto"/>
            </w:pPr>
            <w:r/>
            <w:r>
              <w:rPr>
                <w:rFonts w:ascii="Calibri" w:hAnsi="Calibri" w:eastAsia="Calibri"/>
                <w:b w:val="0"/>
                <w:i w:val="0"/>
                <w:color w:val="1A1A1A"/>
                <w:sz w:val="18"/>
              </w:rPr>
              <w:t>Described as green fees, membership-related income and the in-house restaurant.</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Turnover — payroll model</w:t>
            </w:r>
          </w:p>
        </w:tc>
        <w:tc>
          <w:tcPr>
            <w:tcW w:w="3840" w:type="dxa"/>
            <w:shd w:fill="F4F7F4" w:val="clear"/>
            <w:vAlign w:val="center"/>
          </w:tcPr>
          <w:p>
            <w:pPr>
              <w:spacing w:before="20" w:after="20" w:line="252" w:lineRule="auto"/>
            </w:pPr>
            <w:r/>
            <w:r>
              <w:rPr>
                <w:rFonts w:ascii="Calibri" w:hAnsi="Calibri" w:eastAsia="Calibri"/>
                <w:b w:val="0"/>
                <w:i w:val="0"/>
                <w:color w:val="1A1A1A"/>
                <w:sz w:val="18"/>
              </w:rPr>
              <w:t>€3 million</w:t>
            </w:r>
          </w:p>
        </w:tc>
        <w:tc>
          <w:tcPr>
            <w:tcW w:w="3840" w:type="dxa"/>
            <w:shd w:fill="F4F7F4" w:val="clear"/>
            <w:vAlign w:val="center"/>
          </w:tcPr>
          <w:p>
            <w:pPr>
              <w:spacing w:before="20" w:after="20" w:line="252" w:lineRule="auto"/>
            </w:pPr>
            <w:r/>
            <w:r>
              <w:rPr>
                <w:rFonts w:ascii="Calibri" w:hAnsi="Calibri" w:eastAsia="Calibri"/>
                <w:b w:val="0"/>
                <w:i w:val="0"/>
                <w:color w:val="1A1A1A"/>
                <w:sz w:val="18"/>
              </w:rPr>
              <w:t>Marked “update when actual accounts are available”.</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Business mix</w:t>
            </w:r>
          </w:p>
        </w:tc>
        <w:tc>
          <w:tcPr>
            <w:tcW w:w="3840" w:type="dxa"/>
            <w:shd w:fill="FFFFFF" w:val="clear"/>
            <w:vAlign w:val="center"/>
          </w:tcPr>
          <w:p>
            <w:pPr>
              <w:spacing w:before="20" w:after="20" w:line="252" w:lineRule="auto"/>
            </w:pPr>
            <w:r/>
            <w:r>
              <w:rPr>
                <w:rFonts w:ascii="Calibri" w:hAnsi="Calibri" w:eastAsia="Calibri"/>
                <w:b w:val="0"/>
                <w:i w:val="0"/>
                <w:color w:val="1A1A1A"/>
                <w:sz w:val="18"/>
              </w:rPr>
              <w:t>About 65% visitors / 35% members</w:t>
            </w:r>
          </w:p>
        </w:tc>
        <w:tc>
          <w:tcPr>
            <w:tcW w:w="3840" w:type="dxa"/>
            <w:shd w:fill="FFFFFF" w:val="clear"/>
            <w:vAlign w:val="center"/>
          </w:tcPr>
          <w:p>
            <w:pPr>
              <w:spacing w:before="20" w:after="20" w:line="252" w:lineRule="auto"/>
            </w:pPr>
            <w:r/>
            <w:r>
              <w:rPr>
                <w:rFonts w:ascii="Calibri" w:hAnsi="Calibri" w:eastAsia="Calibri"/>
                <w:b w:val="0"/>
                <w:i w:val="0"/>
                <w:color w:val="1A1A1A"/>
                <w:sz w:val="18"/>
              </w:rPr>
              <w:t>Whether this is rounds, revenue, or another measure.</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Whole-business ratio</w:t>
            </w:r>
          </w:p>
        </w:tc>
        <w:tc>
          <w:tcPr>
            <w:tcW w:w="3840" w:type="dxa"/>
            <w:shd w:fill="F4F7F4" w:val="clear"/>
            <w:vAlign w:val="center"/>
          </w:tcPr>
          <w:p>
            <w:pPr>
              <w:spacing w:before="20" w:after="20" w:line="252" w:lineRule="auto"/>
            </w:pPr>
            <w:r/>
            <w:r>
              <w:rPr>
                <w:rFonts w:ascii="Calibri" w:hAnsi="Calibri" w:eastAsia="Calibri"/>
                <w:b w:val="0"/>
                <w:i w:val="0"/>
                <w:color w:val="1A1A1A"/>
                <w:sz w:val="18"/>
              </w:rPr>
              <w:t>€60 per round on €3 million; €80 per round on €4 million</w:t>
            </w:r>
          </w:p>
        </w:tc>
        <w:tc>
          <w:tcPr>
            <w:tcW w:w="3840" w:type="dxa"/>
            <w:shd w:fill="F4F7F4" w:val="clear"/>
            <w:vAlign w:val="center"/>
          </w:tcPr>
          <w:p>
            <w:pPr>
              <w:spacing w:before="20" w:after="20" w:line="252" w:lineRule="auto"/>
            </w:pPr>
            <w:r/>
            <w:r>
              <w:rPr>
                <w:rFonts w:ascii="Calibri" w:hAnsi="Calibri" w:eastAsia="Calibri"/>
                <w:b w:val="0"/>
                <w:i w:val="0"/>
                <w:color w:val="1A1A1A"/>
                <w:sz w:val="18"/>
              </w:rPr>
              <w:t>Turnover ÷ 50,000 rounds. This is not an average green fee. Version 1 stated €60 against €4 million; that division is €80. The €60 figure matches €3 million.</w:t>
            </w:r>
          </w:p>
        </w:tc>
      </w:tr>
    </w:tbl>
    <w:p>
      <w:pPr>
        <w:pStyle w:val="Heading2"/>
        <w:spacing w:before="200" w:after="80"/>
      </w:pPr>
      <w:r>
        <w:rPr>
          <w:rFonts w:ascii="Calibri" w:hAnsi="Calibri" w:eastAsia="Calibri"/>
          <w:color w:val="1F3D32"/>
        </w:rPr>
        <w:t>1.2 People we can already count</w:t>
      </w:r>
    </w:p>
    <w:p>
      <w:pPr>
        <w:spacing w:before="120" w:after="120" w:line="269" w:lineRule="auto"/>
      </w:pPr>
      <w:r>
        <w:rPr>
          <w:rFonts w:ascii="Calibri" w:hAnsi="Calibri" w:eastAsia="Calibri"/>
          <w:b w:val="0"/>
          <w:i w:val="0"/>
          <w:color w:val="1A1A1A"/>
          <w:sz w:val="22"/>
        </w:rPr>
        <w:t>The golf list in the Board note was supplied as headings only. The restaurant list has numbers. Neither list has been reconciled to the 16 greenkeepers, the 3 marshals, or the approximate total of 40.</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200"/>
        <w:gridCol w:w="2200"/>
        <w:gridCol w:w="1800"/>
        <w:gridCol w:w="3880"/>
      </w:tblGrid>
      <w:tr>
        <w:trPr>
          <w:tblHeader/>
          <w:cantSplit/>
        </w:trPr>
        <w:tc>
          <w:tcPr>
            <w:tcW w:w="2200" w:type="dxa"/>
            <w:shd w:fill="1B4D3E" w:val="clear"/>
            <w:vAlign w:val="center"/>
          </w:tcPr>
          <w:p>
            <w:pPr>
              <w:spacing w:before="20" w:after="20" w:line="252" w:lineRule="auto"/>
            </w:pPr>
            <w:r/>
            <w:r>
              <w:rPr>
                <w:rFonts w:ascii="Calibri" w:hAnsi="Calibri" w:eastAsia="Calibri"/>
                <w:b/>
                <w:i w:val="0"/>
                <w:color w:val="FFFFFF"/>
                <w:sz w:val="18"/>
              </w:rPr>
              <w:t>Business</w:t>
            </w:r>
          </w:p>
        </w:tc>
        <w:tc>
          <w:tcPr>
            <w:tcW w:w="2200" w:type="dxa"/>
            <w:shd w:fill="1B4D3E" w:val="clear"/>
            <w:vAlign w:val="center"/>
          </w:tcPr>
          <w:p>
            <w:pPr>
              <w:spacing w:before="20" w:after="20" w:line="252" w:lineRule="auto"/>
            </w:pPr>
            <w:r/>
            <w:r>
              <w:rPr>
                <w:rFonts w:ascii="Calibri" w:hAnsi="Calibri" w:eastAsia="Calibri"/>
                <w:b/>
                <w:i w:val="0"/>
                <w:color w:val="FFFFFF"/>
                <w:sz w:val="18"/>
              </w:rPr>
              <w:t>Group</w:t>
            </w:r>
          </w:p>
        </w:tc>
        <w:tc>
          <w:tcPr>
            <w:tcW w:w="1800" w:type="dxa"/>
            <w:shd w:fill="1B4D3E" w:val="clear"/>
            <w:vAlign w:val="center"/>
          </w:tcPr>
          <w:p>
            <w:pPr>
              <w:spacing w:before="20" w:after="20" w:line="252" w:lineRule="auto"/>
            </w:pPr>
            <w:r/>
            <w:r>
              <w:rPr>
                <w:rFonts w:ascii="Calibri" w:hAnsi="Calibri" w:eastAsia="Calibri"/>
                <w:b/>
                <w:i w:val="0"/>
                <w:color w:val="FFFFFF"/>
                <w:sz w:val="18"/>
              </w:rPr>
              <w:t>Indicated number</w:t>
            </w:r>
          </w:p>
        </w:tc>
        <w:tc>
          <w:tcPr>
            <w:tcW w:w="3880" w:type="dxa"/>
            <w:shd w:fill="1B4D3E" w:val="clear"/>
            <w:vAlign w:val="center"/>
          </w:tcPr>
          <w:p>
            <w:pPr>
              <w:spacing w:before="20" w:after="20" w:line="252" w:lineRule="auto"/>
            </w:pPr>
            <w:r/>
            <w:r>
              <w:rPr>
                <w:rFonts w:ascii="Calibri" w:hAnsi="Calibri" w:eastAsia="Calibri"/>
                <w:b/>
                <w:i w:val="0"/>
                <w:color w:val="FFFFFF"/>
                <w:sz w:val="18"/>
              </w:rPr>
              <w:t>Status</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EPGC — golf</w:t>
            </w:r>
          </w:p>
        </w:tc>
        <w:tc>
          <w:tcPr>
            <w:tcW w:w="2200" w:type="dxa"/>
            <w:shd w:fill="FFFFFF" w:val="clear"/>
            <w:vAlign w:val="center"/>
          </w:tcPr>
          <w:p>
            <w:pPr>
              <w:spacing w:before="20" w:after="20" w:line="252" w:lineRule="auto"/>
            </w:pPr>
            <w:r/>
            <w:r>
              <w:rPr>
                <w:rFonts w:ascii="Calibri" w:hAnsi="Calibri" w:eastAsia="Calibri"/>
                <w:b w:val="0"/>
                <w:i w:val="0"/>
                <w:color w:val="1A1A1A"/>
                <w:sz w:val="18"/>
              </w:rPr>
              <w:t>Greenkeeping</w:t>
            </w:r>
          </w:p>
        </w:tc>
        <w:tc>
          <w:tcPr>
            <w:tcW w:w="1800" w:type="dxa"/>
            <w:shd w:fill="FFFFFF" w:val="clear"/>
            <w:vAlign w:val="center"/>
          </w:tcPr>
          <w:p>
            <w:pPr>
              <w:spacing w:before="20" w:after="20" w:line="252" w:lineRule="auto"/>
            </w:pPr>
            <w:r/>
            <w:r>
              <w:rPr>
                <w:rFonts w:ascii="Calibri" w:hAnsi="Calibri" w:eastAsia="Calibri"/>
                <w:b w:val="0"/>
                <w:i w:val="0"/>
                <w:color w:val="1A1A1A"/>
                <w:sz w:val="18"/>
              </w:rPr>
              <w:t>16</w:t>
            </w:r>
          </w:p>
        </w:tc>
        <w:tc>
          <w:tcPr>
            <w:tcW w:w="3880" w:type="dxa"/>
            <w:shd w:fill="FFFFFF" w:val="clear"/>
            <w:vAlign w:val="center"/>
          </w:tcPr>
          <w:p>
            <w:pPr>
              <w:spacing w:before="20" w:after="20" w:line="252" w:lineRule="auto"/>
            </w:pPr>
            <w:r/>
            <w:r>
              <w:rPr>
                <w:rFonts w:ascii="Calibri" w:hAnsi="Calibri" w:eastAsia="Calibri"/>
                <w:b w:val="0"/>
                <w:i w:val="0"/>
                <w:color w:val="1A1A1A"/>
                <w:sz w:val="18"/>
              </w:rPr>
              <w:t>Confirm headcount, FTE, seasonal and temporary staff, and team leaders.</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EPGC — golf</w:t>
            </w:r>
          </w:p>
        </w:tc>
        <w:tc>
          <w:tcPr>
            <w:tcW w:w="2200" w:type="dxa"/>
            <w:shd w:fill="F4F7F4" w:val="clear"/>
            <w:vAlign w:val="center"/>
          </w:tcPr>
          <w:p>
            <w:pPr>
              <w:spacing w:before="20" w:after="20" w:line="252" w:lineRule="auto"/>
            </w:pPr>
            <w:r/>
            <w:r>
              <w:rPr>
                <w:rFonts w:ascii="Calibri" w:hAnsi="Calibri" w:eastAsia="Calibri"/>
                <w:b w:val="0"/>
                <w:i w:val="0"/>
                <w:color w:val="1A1A1A"/>
                <w:sz w:val="18"/>
              </w:rPr>
              <w:t>Marshals</w:t>
            </w:r>
          </w:p>
        </w:tc>
        <w:tc>
          <w:tcPr>
            <w:tcW w:w="1800" w:type="dxa"/>
            <w:shd w:fill="F4F7F4" w:val="clear"/>
            <w:vAlign w:val="center"/>
          </w:tcPr>
          <w:p>
            <w:pPr>
              <w:spacing w:before="20" w:after="20" w:line="252" w:lineRule="auto"/>
            </w:pPr>
            <w:r/>
            <w:r>
              <w:rPr>
                <w:rFonts w:ascii="Calibri" w:hAnsi="Calibri" w:eastAsia="Calibri"/>
                <w:b w:val="0"/>
                <w:i w:val="0"/>
                <w:color w:val="1A1A1A"/>
                <w:sz w:val="18"/>
              </w:rPr>
              <w:t>3</w:t>
            </w:r>
          </w:p>
        </w:tc>
        <w:tc>
          <w:tcPr>
            <w:tcW w:w="3880" w:type="dxa"/>
            <w:shd w:fill="F4F7F4" w:val="clear"/>
            <w:vAlign w:val="center"/>
          </w:tcPr>
          <w:p>
            <w:pPr>
              <w:spacing w:before="20" w:after="20" w:line="252" w:lineRule="auto"/>
            </w:pPr>
            <w:r/>
            <w:r>
              <w:rPr>
                <w:rFonts w:ascii="Calibri" w:hAnsi="Calibri" w:eastAsia="Calibri"/>
                <w:b w:val="0"/>
                <w:i w:val="0"/>
                <w:color w:val="1A1A1A"/>
                <w:sz w:val="18"/>
              </w:rPr>
              <w:t>Confirm contract hours, coverage and seasonal variation.</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EPGC — golf</w:t>
            </w:r>
          </w:p>
        </w:tc>
        <w:tc>
          <w:tcPr>
            <w:tcW w:w="2200" w:type="dxa"/>
            <w:shd w:fill="FFFFFF" w:val="clear"/>
            <w:vAlign w:val="center"/>
          </w:tcPr>
          <w:p>
            <w:pPr>
              <w:spacing w:before="20" w:after="20" w:line="252" w:lineRule="auto"/>
            </w:pPr>
            <w:r/>
            <w:r>
              <w:rPr>
                <w:rFonts w:ascii="Calibri" w:hAnsi="Calibri" w:eastAsia="Calibri"/>
                <w:b w:val="0"/>
                <w:i w:val="0"/>
                <w:color w:val="1A1A1A"/>
                <w:sz w:val="18"/>
              </w:rPr>
              <w:t>Managerial</w:t>
            </w:r>
          </w:p>
        </w:tc>
        <w:tc>
          <w:tcPr>
            <w:tcW w:w="1800" w:type="dxa"/>
            <w:shd w:fill="FFFFFF" w:val="clear"/>
            <w:vAlign w:val="center"/>
          </w:tcPr>
          <w:p>
            <w:pPr>
              <w:spacing w:before="20" w:after="20" w:line="252" w:lineRule="auto"/>
            </w:pPr>
            <w:r/>
            <w:r>
              <w:rPr>
                <w:rFonts w:ascii="Calibri" w:hAnsi="Calibri" w:eastAsia="Calibri"/>
                <w:b w:val="0"/>
                <w:i w:val="0"/>
                <w:color w:val="1A1A1A"/>
                <w:sz w:val="18"/>
              </w:rPr>
              <w:t>Not stated</w:t>
            </w:r>
          </w:p>
        </w:tc>
        <w:tc>
          <w:tcPr>
            <w:tcW w:w="3880" w:type="dxa"/>
            <w:shd w:fill="FFFFFF" w:val="clear"/>
            <w:vAlign w:val="center"/>
          </w:tcPr>
          <w:p>
            <w:pPr>
              <w:spacing w:before="20" w:after="20" w:line="252" w:lineRule="auto"/>
            </w:pPr>
            <w:r/>
            <w:r>
              <w:rPr>
                <w:rFonts w:ascii="Calibri" w:hAnsi="Calibri" w:eastAsia="Calibri"/>
                <w:b w:val="0"/>
                <w:i w:val="0"/>
                <w:color w:val="1A1A1A"/>
                <w:sz w:val="18"/>
              </w:rPr>
              <w:t>To complete.</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EPGC — golf</w:t>
            </w:r>
          </w:p>
        </w:tc>
        <w:tc>
          <w:tcPr>
            <w:tcW w:w="2200" w:type="dxa"/>
            <w:shd w:fill="F4F7F4" w:val="clear"/>
            <w:vAlign w:val="center"/>
          </w:tcPr>
          <w:p>
            <w:pPr>
              <w:spacing w:before="20" w:after="20" w:line="252" w:lineRule="auto"/>
            </w:pPr>
            <w:r/>
            <w:r>
              <w:rPr>
                <w:rFonts w:ascii="Calibri" w:hAnsi="Calibri" w:eastAsia="Calibri"/>
                <w:b w:val="0"/>
                <w:i w:val="0"/>
                <w:color w:val="1A1A1A"/>
                <w:sz w:val="18"/>
              </w:rPr>
              <w:t>Sales and services</w:t>
            </w:r>
          </w:p>
        </w:tc>
        <w:tc>
          <w:tcPr>
            <w:tcW w:w="1800" w:type="dxa"/>
            <w:shd w:fill="F4F7F4" w:val="clear"/>
            <w:vAlign w:val="center"/>
          </w:tcPr>
          <w:p>
            <w:pPr>
              <w:spacing w:before="20" w:after="20" w:line="252" w:lineRule="auto"/>
            </w:pPr>
            <w:r/>
            <w:r>
              <w:rPr>
                <w:rFonts w:ascii="Calibri" w:hAnsi="Calibri" w:eastAsia="Calibri"/>
                <w:b w:val="0"/>
                <w:i w:val="0"/>
                <w:color w:val="1A1A1A"/>
                <w:sz w:val="18"/>
              </w:rPr>
              <w:t>Not stated</w:t>
            </w:r>
          </w:p>
        </w:tc>
        <w:tc>
          <w:tcPr>
            <w:tcW w:w="3880" w:type="dxa"/>
            <w:shd w:fill="F4F7F4" w:val="clear"/>
            <w:vAlign w:val="center"/>
          </w:tcPr>
          <w:p>
            <w:pPr>
              <w:spacing w:before="20" w:after="20" w:line="252" w:lineRule="auto"/>
            </w:pPr>
            <w:r/>
            <w:r>
              <w:rPr>
                <w:rFonts w:ascii="Calibri" w:hAnsi="Calibri" w:eastAsia="Calibri"/>
                <w:b w:val="0"/>
                <w:i w:val="0"/>
                <w:color w:val="1A1A1A"/>
                <w:sz w:val="18"/>
              </w:rPr>
              <w:t>To complete.</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EPGC — golf</w:t>
            </w:r>
          </w:p>
        </w:tc>
        <w:tc>
          <w:tcPr>
            <w:tcW w:w="2200" w:type="dxa"/>
            <w:shd w:fill="FFFFFF" w:val="clear"/>
            <w:vAlign w:val="center"/>
          </w:tcPr>
          <w:p>
            <w:pPr>
              <w:spacing w:before="20" w:after="20" w:line="252" w:lineRule="auto"/>
            </w:pPr>
            <w:r/>
            <w:r>
              <w:rPr>
                <w:rFonts w:ascii="Calibri" w:hAnsi="Calibri" w:eastAsia="Calibri"/>
                <w:b w:val="0"/>
                <w:i w:val="0"/>
                <w:color w:val="1A1A1A"/>
                <w:sz w:val="18"/>
              </w:rPr>
              <w:t>Administration</w:t>
            </w:r>
          </w:p>
        </w:tc>
        <w:tc>
          <w:tcPr>
            <w:tcW w:w="1800" w:type="dxa"/>
            <w:shd w:fill="FFFFFF" w:val="clear"/>
            <w:vAlign w:val="center"/>
          </w:tcPr>
          <w:p>
            <w:pPr>
              <w:spacing w:before="20" w:after="20" w:line="252" w:lineRule="auto"/>
            </w:pPr>
            <w:r/>
            <w:r>
              <w:rPr>
                <w:rFonts w:ascii="Calibri" w:hAnsi="Calibri" w:eastAsia="Calibri"/>
                <w:b w:val="0"/>
                <w:i w:val="0"/>
                <w:color w:val="1A1A1A"/>
                <w:sz w:val="18"/>
              </w:rPr>
              <w:t>Not stated</w:t>
            </w:r>
          </w:p>
        </w:tc>
        <w:tc>
          <w:tcPr>
            <w:tcW w:w="3880" w:type="dxa"/>
            <w:shd w:fill="FFFFFF" w:val="clear"/>
            <w:vAlign w:val="center"/>
          </w:tcPr>
          <w:p>
            <w:pPr>
              <w:spacing w:before="20" w:after="20" w:line="252" w:lineRule="auto"/>
            </w:pPr>
            <w:r/>
            <w:r>
              <w:rPr>
                <w:rFonts w:ascii="Calibri" w:hAnsi="Calibri" w:eastAsia="Calibri"/>
                <w:b w:val="0"/>
                <w:i w:val="0"/>
                <w:color w:val="1A1A1A"/>
                <w:sz w:val="18"/>
              </w:rPr>
              <w:t>To complete.</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EPGC — golf</w:t>
            </w:r>
          </w:p>
        </w:tc>
        <w:tc>
          <w:tcPr>
            <w:tcW w:w="2200" w:type="dxa"/>
            <w:shd w:fill="F4F7F4" w:val="clear"/>
            <w:vAlign w:val="center"/>
          </w:tcPr>
          <w:p>
            <w:pPr>
              <w:spacing w:before="20" w:after="20" w:line="252" w:lineRule="auto"/>
            </w:pPr>
            <w:r/>
            <w:r>
              <w:rPr>
                <w:rFonts w:ascii="Calibri" w:hAnsi="Calibri" w:eastAsia="Calibri"/>
                <w:b w:val="0"/>
                <w:i w:val="0"/>
                <w:color w:val="1A1A1A"/>
                <w:sz w:val="18"/>
              </w:rPr>
              <w:t>Maintenance</w:t>
            </w:r>
          </w:p>
        </w:tc>
        <w:tc>
          <w:tcPr>
            <w:tcW w:w="1800" w:type="dxa"/>
            <w:shd w:fill="F4F7F4" w:val="clear"/>
            <w:vAlign w:val="center"/>
          </w:tcPr>
          <w:p>
            <w:pPr>
              <w:spacing w:before="20" w:after="20" w:line="252" w:lineRule="auto"/>
            </w:pPr>
            <w:r/>
            <w:r>
              <w:rPr>
                <w:rFonts w:ascii="Calibri" w:hAnsi="Calibri" w:eastAsia="Calibri"/>
                <w:b w:val="0"/>
                <w:i w:val="0"/>
                <w:color w:val="1A1A1A"/>
                <w:sz w:val="18"/>
              </w:rPr>
              <w:t>Not stated</w:t>
            </w:r>
          </w:p>
        </w:tc>
        <w:tc>
          <w:tcPr>
            <w:tcW w:w="3880" w:type="dxa"/>
            <w:shd w:fill="F4F7F4" w:val="clear"/>
            <w:vAlign w:val="center"/>
          </w:tcPr>
          <w:p>
            <w:pPr>
              <w:spacing w:before="20" w:after="20" w:line="252" w:lineRule="auto"/>
            </w:pPr>
            <w:r/>
            <w:r>
              <w:rPr>
                <w:rFonts w:ascii="Calibri" w:hAnsi="Calibri" w:eastAsia="Calibri"/>
                <w:b w:val="0"/>
                <w:i w:val="0"/>
                <w:color w:val="1A1A1A"/>
                <w:sz w:val="18"/>
              </w:rPr>
              <w:t>To complete. Separate from greenkeeping, or the same team?</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EPGC — golf</w:t>
            </w:r>
          </w:p>
        </w:tc>
        <w:tc>
          <w:tcPr>
            <w:tcW w:w="2200" w:type="dxa"/>
            <w:shd w:fill="FFFFFF" w:val="clear"/>
            <w:vAlign w:val="center"/>
          </w:tcPr>
          <w:p>
            <w:pPr>
              <w:spacing w:before="20" w:after="20" w:line="252" w:lineRule="auto"/>
            </w:pPr>
            <w:r/>
            <w:r>
              <w:rPr>
                <w:rFonts w:ascii="Calibri" w:hAnsi="Calibri" w:eastAsia="Calibri"/>
                <w:b w:val="0"/>
                <w:i w:val="0"/>
                <w:color w:val="1A1A1A"/>
                <w:sz w:val="18"/>
              </w:rPr>
              <w:t>Golf professional</w:t>
            </w:r>
          </w:p>
        </w:tc>
        <w:tc>
          <w:tcPr>
            <w:tcW w:w="1800" w:type="dxa"/>
            <w:shd w:fill="FFFFFF" w:val="clear"/>
            <w:vAlign w:val="center"/>
          </w:tcPr>
          <w:p>
            <w:pPr>
              <w:spacing w:before="20" w:after="20" w:line="252" w:lineRule="auto"/>
            </w:pPr>
            <w:r/>
            <w:r>
              <w:rPr>
                <w:rFonts w:ascii="Calibri" w:hAnsi="Calibri" w:eastAsia="Calibri"/>
                <w:b w:val="0"/>
                <w:i w:val="0"/>
                <w:color w:val="1A1A1A"/>
                <w:sz w:val="18"/>
              </w:rPr>
              <w:t>Not stated</w:t>
            </w:r>
          </w:p>
        </w:tc>
        <w:tc>
          <w:tcPr>
            <w:tcW w:w="3880" w:type="dxa"/>
            <w:shd w:fill="FFFFFF" w:val="clear"/>
            <w:vAlign w:val="center"/>
          </w:tcPr>
          <w:p>
            <w:pPr>
              <w:spacing w:before="20" w:after="20" w:line="252" w:lineRule="auto"/>
            </w:pPr>
            <w:r/>
            <w:r>
              <w:rPr>
                <w:rFonts w:ascii="Calibri" w:hAnsi="Calibri" w:eastAsia="Calibri"/>
                <w:b w:val="0"/>
                <w:i w:val="0"/>
                <w:color w:val="1A1A1A"/>
                <w:sz w:val="18"/>
              </w:rPr>
              <w:t>To complete. This role is not yet on the proposed chart in Part 2.</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EPGC — golf</w:t>
            </w:r>
          </w:p>
        </w:tc>
        <w:tc>
          <w:tcPr>
            <w:tcW w:w="2200" w:type="dxa"/>
            <w:shd w:fill="F4F7F4" w:val="clear"/>
            <w:vAlign w:val="center"/>
          </w:tcPr>
          <w:p>
            <w:pPr>
              <w:spacing w:before="20" w:after="20" w:line="252" w:lineRule="auto"/>
            </w:pPr>
            <w:r/>
            <w:r>
              <w:rPr>
                <w:rFonts w:ascii="Calibri" w:hAnsi="Calibri" w:eastAsia="Calibri"/>
                <w:b w:val="0"/>
                <w:i w:val="0"/>
                <w:color w:val="1A1A1A"/>
                <w:sz w:val="18"/>
              </w:rPr>
              <w:t>General</w:t>
            </w:r>
          </w:p>
        </w:tc>
        <w:tc>
          <w:tcPr>
            <w:tcW w:w="1800" w:type="dxa"/>
            <w:shd w:fill="F4F7F4" w:val="clear"/>
            <w:vAlign w:val="center"/>
          </w:tcPr>
          <w:p>
            <w:pPr>
              <w:spacing w:before="20" w:after="20" w:line="252" w:lineRule="auto"/>
            </w:pPr>
            <w:r/>
            <w:r>
              <w:rPr>
                <w:rFonts w:ascii="Calibri" w:hAnsi="Calibri" w:eastAsia="Calibri"/>
                <w:b w:val="0"/>
                <w:i w:val="0"/>
                <w:color w:val="1A1A1A"/>
                <w:sz w:val="18"/>
              </w:rPr>
              <w:t>Not stated</w:t>
            </w:r>
          </w:p>
        </w:tc>
        <w:tc>
          <w:tcPr>
            <w:tcW w:w="3880" w:type="dxa"/>
            <w:shd w:fill="F4F7F4" w:val="clear"/>
            <w:vAlign w:val="center"/>
          </w:tcPr>
          <w:p>
            <w:pPr>
              <w:spacing w:before="20" w:after="20" w:line="252" w:lineRule="auto"/>
            </w:pPr>
            <w:r/>
            <w:r>
              <w:rPr>
                <w:rFonts w:ascii="Calibri" w:hAnsi="Calibri" w:eastAsia="Calibri"/>
                <w:b w:val="0"/>
                <w:i w:val="0"/>
                <w:color w:val="1A1A1A"/>
                <w:sz w:val="18"/>
              </w:rPr>
              <w:t>To complete. Place greenkeepers and marshals if they belong here.</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EPGCR — restaurant</w:t>
            </w:r>
          </w:p>
        </w:tc>
        <w:tc>
          <w:tcPr>
            <w:tcW w:w="2200" w:type="dxa"/>
            <w:shd w:fill="FFFFFF" w:val="clear"/>
            <w:vAlign w:val="center"/>
          </w:tcPr>
          <w:p>
            <w:pPr>
              <w:spacing w:before="20" w:after="20" w:line="252" w:lineRule="auto"/>
            </w:pPr>
            <w:r/>
            <w:r>
              <w:rPr>
                <w:rFonts w:ascii="Calibri" w:hAnsi="Calibri" w:eastAsia="Calibri"/>
                <w:b w:val="0"/>
                <w:i w:val="0"/>
                <w:color w:val="1A1A1A"/>
                <w:sz w:val="18"/>
              </w:rPr>
              <w:t>Managerial</w:t>
            </w:r>
          </w:p>
        </w:tc>
        <w:tc>
          <w:tcPr>
            <w:tcW w:w="1800" w:type="dxa"/>
            <w:shd w:fill="FFFFFF" w:val="clear"/>
            <w:vAlign w:val="center"/>
          </w:tcPr>
          <w:p>
            <w:pPr>
              <w:spacing w:before="20" w:after="20" w:line="252" w:lineRule="auto"/>
            </w:pPr>
            <w:r/>
            <w:r>
              <w:rPr>
                <w:rFonts w:ascii="Calibri" w:hAnsi="Calibri" w:eastAsia="Calibri"/>
                <w:b w:val="0"/>
                <w:i w:val="0"/>
                <w:color w:val="1A1A1A"/>
                <w:sz w:val="18"/>
              </w:rPr>
              <w:t>2</w:t>
            </w:r>
          </w:p>
        </w:tc>
        <w:tc>
          <w:tcPr>
            <w:tcW w:w="3880" w:type="dxa"/>
            <w:shd w:fill="FFFFFF" w:val="clear"/>
            <w:vAlign w:val="center"/>
          </w:tcPr>
          <w:p>
            <w:pPr>
              <w:spacing w:before="20" w:after="20" w:line="252" w:lineRule="auto"/>
            </w:pPr>
            <w:r/>
            <w:r>
              <w:rPr>
                <w:rFonts w:ascii="Calibri" w:hAnsi="Calibri" w:eastAsia="Calibri"/>
                <w:b w:val="0"/>
                <w:i w:val="0"/>
                <w:color w:val="1A1A1A"/>
                <w:sz w:val="18"/>
              </w:rPr>
              <w:t>Indicated. Confirm job titles against Part 2.</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EPGCR — restaurant</w:t>
            </w:r>
          </w:p>
        </w:tc>
        <w:tc>
          <w:tcPr>
            <w:tcW w:w="2200" w:type="dxa"/>
            <w:shd w:fill="F4F7F4" w:val="clear"/>
            <w:vAlign w:val="center"/>
          </w:tcPr>
          <w:p>
            <w:pPr>
              <w:spacing w:before="20" w:after="20" w:line="252" w:lineRule="auto"/>
            </w:pPr>
            <w:r/>
            <w:r>
              <w:rPr>
                <w:rFonts w:ascii="Calibri" w:hAnsi="Calibri" w:eastAsia="Calibri"/>
                <w:b w:val="0"/>
                <w:i w:val="0"/>
                <w:color w:val="1A1A1A"/>
                <w:sz w:val="18"/>
              </w:rPr>
              <w:t>Supervisory</w:t>
            </w:r>
          </w:p>
        </w:tc>
        <w:tc>
          <w:tcPr>
            <w:tcW w:w="1800" w:type="dxa"/>
            <w:shd w:fill="F4F7F4" w:val="clear"/>
            <w:vAlign w:val="center"/>
          </w:tcPr>
          <w:p>
            <w:pPr>
              <w:spacing w:before="20" w:after="20" w:line="252" w:lineRule="auto"/>
            </w:pPr>
            <w:r/>
            <w:r>
              <w:rPr>
                <w:rFonts w:ascii="Calibri" w:hAnsi="Calibri" w:eastAsia="Calibri"/>
                <w:b w:val="0"/>
                <w:i w:val="0"/>
                <w:color w:val="1A1A1A"/>
                <w:sz w:val="18"/>
              </w:rPr>
              <w:t>3</w:t>
            </w:r>
          </w:p>
        </w:tc>
        <w:tc>
          <w:tcPr>
            <w:tcW w:w="3880" w:type="dxa"/>
            <w:shd w:fill="F4F7F4" w:val="clear"/>
            <w:vAlign w:val="center"/>
          </w:tcPr>
          <w:p>
            <w:pPr>
              <w:spacing w:before="20" w:after="20" w:line="252" w:lineRule="auto"/>
            </w:pPr>
            <w:r/>
            <w:r>
              <w:rPr>
                <w:rFonts w:ascii="Calibri" w:hAnsi="Calibri" w:eastAsia="Calibri"/>
                <w:b w:val="0"/>
                <w:i w:val="0"/>
                <w:color w:val="1A1A1A"/>
                <w:sz w:val="18"/>
              </w:rPr>
              <w:t>Indicated.</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EPGCR — restaurant</w:t>
            </w:r>
          </w:p>
        </w:tc>
        <w:tc>
          <w:tcPr>
            <w:tcW w:w="2200" w:type="dxa"/>
            <w:shd w:fill="FFFFFF" w:val="clear"/>
            <w:vAlign w:val="center"/>
          </w:tcPr>
          <w:p>
            <w:pPr>
              <w:spacing w:before="20" w:after="20" w:line="252" w:lineRule="auto"/>
            </w:pPr>
            <w:r/>
            <w:r>
              <w:rPr>
                <w:rFonts w:ascii="Calibri" w:hAnsi="Calibri" w:eastAsia="Calibri"/>
                <w:b w:val="0"/>
                <w:i w:val="0"/>
                <w:color w:val="1A1A1A"/>
                <w:sz w:val="18"/>
              </w:rPr>
              <w:t>General</w:t>
            </w:r>
          </w:p>
        </w:tc>
        <w:tc>
          <w:tcPr>
            <w:tcW w:w="1800" w:type="dxa"/>
            <w:shd w:fill="FFFFFF" w:val="clear"/>
            <w:vAlign w:val="center"/>
          </w:tcPr>
          <w:p>
            <w:pPr>
              <w:spacing w:before="20" w:after="20" w:line="252" w:lineRule="auto"/>
            </w:pPr>
            <w:r/>
            <w:r>
              <w:rPr>
                <w:rFonts w:ascii="Calibri" w:hAnsi="Calibri" w:eastAsia="Calibri"/>
                <w:b w:val="0"/>
                <w:i w:val="0"/>
                <w:color w:val="1A1A1A"/>
                <w:sz w:val="18"/>
              </w:rPr>
              <w:t>7</w:t>
            </w:r>
          </w:p>
        </w:tc>
        <w:tc>
          <w:tcPr>
            <w:tcW w:w="3880" w:type="dxa"/>
            <w:shd w:fill="FFFFFF" w:val="clear"/>
            <w:vAlign w:val="center"/>
          </w:tcPr>
          <w:p>
            <w:pPr>
              <w:spacing w:before="20" w:after="20" w:line="252" w:lineRule="auto"/>
            </w:pPr>
            <w:r/>
            <w:r>
              <w:rPr>
                <w:rFonts w:ascii="Calibri" w:hAnsi="Calibri" w:eastAsia="Calibri"/>
                <w:b w:val="0"/>
                <w:i w:val="0"/>
                <w:color w:val="1A1A1A"/>
                <w:sz w:val="18"/>
              </w:rPr>
              <w:t>Indicated.</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EPGCR — restaurant</w:t>
            </w:r>
          </w:p>
        </w:tc>
        <w:tc>
          <w:tcPr>
            <w:tcW w:w="2200" w:type="dxa"/>
            <w:shd w:fill="F4F7F4" w:val="clear"/>
            <w:vAlign w:val="center"/>
          </w:tcPr>
          <w:p>
            <w:pPr>
              <w:spacing w:before="20" w:after="20" w:line="252" w:lineRule="auto"/>
            </w:pPr>
            <w:r/>
            <w:r>
              <w:rPr>
                <w:rFonts w:ascii="Calibri" w:hAnsi="Calibri" w:eastAsia="Calibri"/>
                <w:b w:val="0"/>
                <w:i w:val="0"/>
                <w:color w:val="1A1A1A"/>
                <w:sz w:val="18"/>
              </w:rPr>
              <w:t>Subtotal</w:t>
            </w:r>
          </w:p>
        </w:tc>
        <w:tc>
          <w:tcPr>
            <w:tcW w:w="1800" w:type="dxa"/>
            <w:shd w:fill="F4F7F4" w:val="clear"/>
            <w:vAlign w:val="center"/>
          </w:tcPr>
          <w:p>
            <w:pPr>
              <w:spacing w:before="20" w:after="20" w:line="252" w:lineRule="auto"/>
            </w:pPr>
            <w:r/>
            <w:r>
              <w:rPr>
                <w:rFonts w:ascii="Calibri" w:hAnsi="Calibri" w:eastAsia="Calibri"/>
                <w:b w:val="0"/>
                <w:i w:val="0"/>
                <w:color w:val="1A1A1A"/>
                <w:sz w:val="18"/>
              </w:rPr>
              <w:t>12</w:t>
            </w:r>
          </w:p>
        </w:tc>
        <w:tc>
          <w:tcPr>
            <w:tcW w:w="3880" w:type="dxa"/>
            <w:shd w:fill="F4F7F4" w:val="clear"/>
            <w:vAlign w:val="center"/>
          </w:tcPr>
          <w:p>
            <w:pPr>
              <w:spacing w:before="20" w:after="20" w:line="252" w:lineRule="auto"/>
            </w:pPr>
            <w:r/>
            <w:r>
              <w:rPr>
                <w:rFonts w:ascii="Calibri" w:hAnsi="Calibri" w:eastAsia="Calibri"/>
                <w:b w:val="0"/>
                <w:i w:val="0"/>
                <w:color w:val="1A1A1A"/>
                <w:sz w:val="18"/>
              </w:rPr>
              <w:t>2 + 3 + 7. Confirm FTE, seasonal staff, and whether this sits inside or outside the golf total.</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Whole operation</w:t>
            </w:r>
          </w:p>
        </w:tc>
        <w:tc>
          <w:tcPr>
            <w:tcW w:w="2200" w:type="dxa"/>
            <w:shd w:fill="FFFFFF" w:val="clear"/>
            <w:vAlign w:val="center"/>
          </w:tcPr>
          <w:p>
            <w:pPr>
              <w:spacing w:before="20" w:after="20" w:line="252" w:lineRule="auto"/>
            </w:pPr>
            <w:r/>
            <w:r>
              <w:rPr>
                <w:rFonts w:ascii="Calibri" w:hAnsi="Calibri" w:eastAsia="Calibri"/>
                <w:b w:val="0"/>
                <w:i w:val="0"/>
                <w:color w:val="1A1A1A"/>
                <w:sz w:val="18"/>
              </w:rPr>
              <w:t>All departments</w:t>
            </w:r>
          </w:p>
        </w:tc>
        <w:tc>
          <w:tcPr>
            <w:tcW w:w="1800" w:type="dxa"/>
            <w:shd w:fill="FFFFFF" w:val="clear"/>
            <w:vAlign w:val="center"/>
          </w:tcPr>
          <w:p>
            <w:pPr>
              <w:spacing w:before="20" w:after="20" w:line="252" w:lineRule="auto"/>
            </w:pPr>
            <w:r/>
            <w:r>
              <w:rPr>
                <w:rFonts w:ascii="Calibri" w:hAnsi="Calibri" w:eastAsia="Calibri"/>
                <w:b w:val="0"/>
                <w:i w:val="0"/>
                <w:color w:val="1A1A1A"/>
                <w:sz w:val="18"/>
              </w:rPr>
              <w:t>About 40</w:t>
            </w:r>
          </w:p>
        </w:tc>
        <w:tc>
          <w:tcPr>
            <w:tcW w:w="3880" w:type="dxa"/>
            <w:shd w:fill="FFFFFF" w:val="clear"/>
            <w:vAlign w:val="center"/>
          </w:tcPr>
          <w:p>
            <w:pPr>
              <w:spacing w:before="20" w:after="20" w:line="252" w:lineRule="auto"/>
            </w:pPr>
            <w:r/>
            <w:r>
              <w:rPr>
                <w:rFonts w:ascii="Calibri" w:hAnsi="Calibri" w:eastAsia="Calibri"/>
                <w:b w:val="0"/>
                <w:i w:val="0"/>
                <w:color w:val="1A1A1A"/>
                <w:sz w:val="18"/>
              </w:rPr>
              <w:t>Board note. Reconcile department by department. CG to check.</w:t>
            </w:r>
          </w:p>
        </w:tc>
      </w:tr>
    </w:tbl>
    <w:p>
      <w:pPr>
        <w:spacing w:before="120" w:after="120" w:line="269" w:lineRule="auto"/>
      </w:pPr>
      <w:r>
        <w:rPr>
          <w:rFonts w:ascii="Calibri" w:hAnsi="Calibri" w:eastAsia="Calibri"/>
          <w:b w:val="0"/>
          <w:i/>
          <w:color w:val="3D4A42"/>
          <w:sz w:val="20"/>
        </w:rPr>
        <w:t>Also still to collect, once the register below exists: contract type, full-time equivalents, seasonal and temporary cover, overtime, bonuses, benefits, employer social-security cost, annual leave and rest-day cover, vacancies, outsourced services, and which roles are combined in one person.</w:t>
      </w:r>
    </w:p>
    <w:p>
      <w:pPr>
        <w:pStyle w:val="Heading2"/>
        <w:spacing w:before="200" w:after="80"/>
      </w:pPr>
      <w:r>
        <w:rPr>
          <w:rFonts w:ascii="Calibri" w:hAnsi="Calibri" w:eastAsia="Calibri"/>
          <w:color w:val="1F3D32"/>
        </w:rPr>
        <w:t>1.3 How the operation runs today</w:t>
      </w:r>
    </w:p>
    <w:p>
      <w:pPr>
        <w:spacing w:before="120" w:after="120" w:line="269" w:lineRule="auto"/>
      </w:pPr>
      <w:r>
        <w:rPr>
          <w:rFonts w:ascii="Calibri" w:hAnsi="Calibri" w:eastAsia="Calibri"/>
          <w:b w:val="0"/>
          <w:i w:val="0"/>
          <w:color w:val="1A1A1A"/>
          <w:sz w:val="22"/>
        </w:rPr>
        <w:t>Employee conditions are set by Spanish labour law, a union agreement, and the internal terms of the El Paraiso contracts. The club is a 365-day operation. Working hours across the business run from 06:00 to 23:00. Roles span general management, administration, sales, golf services, maintenance, greenkeeping, golf professionals, chefs and waiters.</w:t>
      </w:r>
    </w:p>
    <w:p>
      <w:pPr>
        <w:spacing w:before="120" w:after="120" w:line="269" w:lineRule="auto"/>
      </w:pPr>
      <w:r>
        <w:rPr>
          <w:rFonts w:ascii="Calibri" w:hAnsi="Calibri" w:eastAsia="Calibri"/>
          <w:b w:val="0"/>
          <w:i w:val="0"/>
          <w:color w:val="1A1A1A"/>
          <w:sz w:val="22"/>
        </w:rPr>
        <w:t>The staff group is, in general, loyal, and many people have long service. The pressures named in the note are the shortage of accommodation near the club and the transport cost that follows from it, the length of the working day, and weekend work. The advantages named are guaranteed year-round work and a pleasant working environment. Most employees live more than 30 km away. The club is in a high cost-of-living area. Part 3 sets out the fuel-cost illustration; it should be replaced with actual distances once they are collected.</w:t>
      </w:r>
    </w:p>
    <w:p>
      <w:pPr>
        <w:pStyle w:val="Heading2"/>
        <w:spacing w:before="200" w:after="80"/>
      </w:pPr>
      <w:r>
        <w:rPr>
          <w:rFonts w:ascii="Calibri" w:hAnsi="Calibri" w:eastAsia="Calibri"/>
          <w:color w:val="1F3D32"/>
        </w:rPr>
        <w:t>1.4 Working conditions still to write down</w:t>
      </w:r>
    </w:p>
    <w:p>
      <w:pPr>
        <w:spacing w:before="120" w:after="120" w:line="269" w:lineRule="auto"/>
      </w:pPr>
      <w:r>
        <w:rPr>
          <w:rFonts w:ascii="Calibri" w:hAnsi="Calibri" w:eastAsia="Calibri"/>
          <w:b w:val="0"/>
          <w:i w:val="0"/>
          <w:color w:val="1A1A1A"/>
          <w:sz w:val="22"/>
        </w:rPr>
        <w:t>The 2026 statutory minimum wage is recorded below as a planning figure. The other conditions are not yet in this document. Complete them with the labour consultant and the payroll provider before any remuneration policy goes to the Board.</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400"/>
        <w:gridCol w:w="3840"/>
        <w:gridCol w:w="3840"/>
      </w:tblGrid>
      <w:tr>
        <w:trPr>
          <w:tblHeader/>
          <w:cantSplit/>
        </w:trPr>
        <w:tc>
          <w:tcPr>
            <w:tcW w:w="2400" w:type="dxa"/>
            <w:shd w:fill="1B4D3E" w:val="clear"/>
            <w:vAlign w:val="center"/>
          </w:tcPr>
          <w:p>
            <w:pPr>
              <w:spacing w:before="20" w:after="20" w:line="252" w:lineRule="auto"/>
            </w:pPr>
            <w:r/>
            <w:r>
              <w:rPr>
                <w:rFonts w:ascii="Calibri" w:hAnsi="Calibri" w:eastAsia="Calibri"/>
                <w:b/>
                <w:i w:val="0"/>
                <w:color w:val="FFFFFF"/>
                <w:sz w:val="18"/>
              </w:rPr>
              <w:t>Condition</w:t>
            </w:r>
          </w:p>
        </w:tc>
        <w:tc>
          <w:tcPr>
            <w:tcW w:w="3840" w:type="dxa"/>
            <w:shd w:fill="1B4D3E" w:val="clear"/>
            <w:vAlign w:val="center"/>
          </w:tcPr>
          <w:p>
            <w:pPr>
              <w:spacing w:before="20" w:after="20" w:line="252" w:lineRule="auto"/>
            </w:pPr>
            <w:r/>
            <w:r>
              <w:rPr>
                <w:rFonts w:ascii="Calibri" w:hAnsi="Calibri" w:eastAsia="Calibri"/>
                <w:b/>
                <w:i w:val="0"/>
                <w:color w:val="FFFFFF"/>
                <w:sz w:val="18"/>
              </w:rPr>
              <w:t>What is known</w:t>
            </w:r>
          </w:p>
        </w:tc>
        <w:tc>
          <w:tcPr>
            <w:tcW w:w="3840" w:type="dxa"/>
            <w:shd w:fill="1B4D3E" w:val="clear"/>
            <w:vAlign w:val="center"/>
          </w:tcPr>
          <w:p>
            <w:pPr>
              <w:spacing w:before="20" w:after="20" w:line="252" w:lineRule="auto"/>
            </w:pPr>
            <w:r/>
            <w:r>
              <w:rPr>
                <w:rFonts w:ascii="Calibri" w:hAnsi="Calibri" w:eastAsia="Calibri"/>
                <w:b/>
                <w:i w:val="0"/>
                <w:color w:val="FFFFFF"/>
                <w:sz w:val="18"/>
              </w:rPr>
              <w:t>Still to document</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Statutory minimum wage, 2026</w:t>
            </w:r>
          </w:p>
        </w:tc>
        <w:tc>
          <w:tcPr>
            <w:tcW w:w="3840" w:type="dxa"/>
            <w:shd w:fill="FFFFFF" w:val="clear"/>
            <w:vAlign w:val="center"/>
          </w:tcPr>
          <w:p>
            <w:pPr>
              <w:spacing w:before="20" w:after="20" w:line="252" w:lineRule="auto"/>
            </w:pPr>
            <w:r/>
            <w:r>
              <w:rPr>
                <w:rFonts w:ascii="Calibri" w:hAnsi="Calibri" w:eastAsia="Calibri"/>
                <w:b w:val="0"/>
                <w:i w:val="0"/>
                <w:color w:val="1A1A1A"/>
                <w:sz w:val="18"/>
              </w:rPr>
              <w:t>€1,221 a month; €17,094 a year on 14 payments, full-time.</w:t>
            </w:r>
          </w:p>
        </w:tc>
        <w:tc>
          <w:tcPr>
            <w:tcW w:w="3840" w:type="dxa"/>
            <w:shd w:fill="FFFFFF" w:val="clear"/>
            <w:vAlign w:val="center"/>
          </w:tcPr>
          <w:p>
            <w:pPr>
              <w:spacing w:before="20" w:after="20" w:line="252" w:lineRule="auto"/>
            </w:pPr>
            <w:r/>
            <w:r>
              <w:rPr>
                <w:rFonts w:ascii="Calibri" w:hAnsi="Calibri" w:eastAsia="Calibri"/>
                <w:b w:val="0"/>
                <w:i w:val="0"/>
                <w:color w:val="1A1A1A"/>
                <w:sz w:val="18"/>
              </w:rPr>
              <w:t>Check the 2027 SMI and the collective agreement before any pay decision.</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Payment pattern</w:t>
            </w:r>
          </w:p>
        </w:tc>
        <w:tc>
          <w:tcPr>
            <w:tcW w:w="3840" w:type="dxa"/>
            <w:shd w:fill="F4F7F4" w:val="clear"/>
            <w:vAlign w:val="center"/>
          </w:tcPr>
          <w:p>
            <w:pPr>
              <w:spacing w:before="20" w:after="20" w:line="252" w:lineRule="auto"/>
            </w:pPr>
            <w:r/>
            <w:r>
              <w:rPr>
                <w:rFonts w:ascii="Calibri" w:hAnsi="Calibri" w:eastAsia="Calibri"/>
                <w:b w:val="0"/>
                <w:i w:val="0"/>
                <w:color w:val="1A1A1A"/>
                <w:sz w:val="18"/>
              </w:rPr>
              <w:t>Not confirmed.</w:t>
            </w:r>
          </w:p>
        </w:tc>
        <w:tc>
          <w:tcPr>
            <w:tcW w:w="3840" w:type="dxa"/>
            <w:shd w:fill="F4F7F4" w:val="clear"/>
            <w:vAlign w:val="center"/>
          </w:tcPr>
          <w:p>
            <w:pPr>
              <w:spacing w:before="20" w:after="20" w:line="252" w:lineRule="auto"/>
            </w:pPr>
            <w:r/>
            <w:r>
              <w:rPr>
                <w:rFonts w:ascii="Calibri" w:hAnsi="Calibri" w:eastAsia="Calibri"/>
                <w:b w:val="0"/>
                <w:i w:val="0"/>
                <w:color w:val="1A1A1A"/>
                <w:sz w:val="18"/>
              </w:rPr>
              <w:t>Whether annual salary is paid in 12 or 14 instalments. Comparisons must be like-for-like.</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Working time</w:t>
            </w:r>
          </w:p>
        </w:tc>
        <w:tc>
          <w:tcPr>
            <w:tcW w:w="3840" w:type="dxa"/>
            <w:shd w:fill="FFFFFF" w:val="clear"/>
            <w:vAlign w:val="center"/>
          </w:tcPr>
          <w:p>
            <w:pPr>
              <w:spacing w:before="20" w:after="20" w:line="252" w:lineRule="auto"/>
            </w:pPr>
            <w:r/>
            <w:r>
              <w:rPr>
                <w:rFonts w:ascii="Calibri" w:hAnsi="Calibri" w:eastAsia="Calibri"/>
                <w:b w:val="0"/>
                <w:i w:val="0"/>
                <w:color w:val="1A1A1A"/>
                <w:sz w:val="18"/>
              </w:rPr>
              <w:t>365 days. Span 06:00–23:00. Weekend work is part of the operation.</w:t>
            </w:r>
          </w:p>
        </w:tc>
        <w:tc>
          <w:tcPr>
            <w:tcW w:w="3840" w:type="dxa"/>
            <w:shd w:fill="FFFFFF" w:val="clear"/>
            <w:vAlign w:val="center"/>
          </w:tcPr>
          <w:p>
            <w:pPr>
              <w:spacing w:before="20" w:after="20" w:line="252" w:lineRule="auto"/>
            </w:pPr>
            <w:r/>
            <w:r>
              <w:rPr>
                <w:rFonts w:ascii="Calibri" w:hAnsi="Calibri" w:eastAsia="Calibri"/>
                <w:b w:val="0"/>
                <w:i w:val="0"/>
                <w:color w:val="1A1A1A"/>
                <w:sz w:val="18"/>
              </w:rPr>
              <w:t>Days and hours per year, by department, including weekend cover.</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Leave</w:t>
            </w:r>
          </w:p>
        </w:tc>
        <w:tc>
          <w:tcPr>
            <w:tcW w:w="3840" w:type="dxa"/>
            <w:shd w:fill="F4F7F4" w:val="clear"/>
            <w:vAlign w:val="center"/>
          </w:tcPr>
          <w:p>
            <w:pPr>
              <w:spacing w:before="20" w:after="20" w:line="252" w:lineRule="auto"/>
            </w:pPr>
            <w:r/>
            <w:r>
              <w:rPr>
                <w:rFonts w:ascii="Calibri" w:hAnsi="Calibri" w:eastAsia="Calibri"/>
                <w:b w:val="0"/>
                <w:i w:val="0"/>
                <w:color w:val="1A1A1A"/>
                <w:sz w:val="18"/>
              </w:rPr>
              <w:t>Not recorded here.</w:t>
            </w:r>
          </w:p>
        </w:tc>
        <w:tc>
          <w:tcPr>
            <w:tcW w:w="3840" w:type="dxa"/>
            <w:shd w:fill="F4F7F4" w:val="clear"/>
            <w:vAlign w:val="center"/>
          </w:tcPr>
          <w:p>
            <w:pPr>
              <w:spacing w:before="20" w:after="20" w:line="252" w:lineRule="auto"/>
            </w:pPr>
            <w:r/>
            <w:r>
              <w:rPr>
                <w:rFonts w:ascii="Calibri" w:hAnsi="Calibri" w:eastAsia="Calibri"/>
                <w:b w:val="0"/>
                <w:i w:val="0"/>
                <w:color w:val="1A1A1A"/>
                <w:sz w:val="18"/>
              </w:rPr>
              <w:t>Annual leave days.</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Sick pay</w:t>
            </w:r>
          </w:p>
        </w:tc>
        <w:tc>
          <w:tcPr>
            <w:tcW w:w="3840" w:type="dxa"/>
            <w:shd w:fill="FFFFFF" w:val="clear"/>
            <w:vAlign w:val="center"/>
          </w:tcPr>
          <w:p>
            <w:pPr>
              <w:spacing w:before="20" w:after="20" w:line="252" w:lineRule="auto"/>
            </w:pPr>
            <w:r/>
            <w:r>
              <w:rPr>
                <w:rFonts w:ascii="Calibri" w:hAnsi="Calibri" w:eastAsia="Calibri"/>
                <w:b w:val="0"/>
                <w:i w:val="0"/>
                <w:color w:val="1A1A1A"/>
                <w:sz w:val="18"/>
              </w:rPr>
              <w:t>Not recorded here.</w:t>
            </w:r>
          </w:p>
        </w:tc>
        <w:tc>
          <w:tcPr>
            <w:tcW w:w="3840" w:type="dxa"/>
            <w:shd w:fill="FFFFFF" w:val="clear"/>
            <w:vAlign w:val="center"/>
          </w:tcPr>
          <w:p>
            <w:pPr>
              <w:spacing w:before="20" w:after="20" w:line="252" w:lineRule="auto"/>
            </w:pPr>
            <w:r/>
            <w:r>
              <w:rPr>
                <w:rFonts w:ascii="Calibri" w:hAnsi="Calibri" w:eastAsia="Calibri"/>
                <w:b w:val="0"/>
                <w:i w:val="0"/>
                <w:color w:val="1A1A1A"/>
                <w:sz w:val="18"/>
              </w:rPr>
              <w:t>Sick days, and how statutory sick pay interacts with club practice.</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Compassionate leave</w:t>
            </w:r>
          </w:p>
        </w:tc>
        <w:tc>
          <w:tcPr>
            <w:tcW w:w="3840" w:type="dxa"/>
            <w:shd w:fill="F4F7F4" w:val="clear"/>
            <w:vAlign w:val="center"/>
          </w:tcPr>
          <w:p>
            <w:pPr>
              <w:spacing w:before="20" w:after="20" w:line="252" w:lineRule="auto"/>
            </w:pPr>
            <w:r/>
            <w:r>
              <w:rPr>
                <w:rFonts w:ascii="Calibri" w:hAnsi="Calibri" w:eastAsia="Calibri"/>
                <w:b w:val="0"/>
                <w:i w:val="0"/>
                <w:color w:val="1A1A1A"/>
                <w:sz w:val="18"/>
              </w:rPr>
              <w:t>Not recorded here.</w:t>
            </w:r>
          </w:p>
        </w:tc>
        <w:tc>
          <w:tcPr>
            <w:tcW w:w="3840" w:type="dxa"/>
            <w:shd w:fill="F4F7F4" w:val="clear"/>
            <w:vAlign w:val="center"/>
          </w:tcPr>
          <w:p>
            <w:pPr>
              <w:spacing w:before="20" w:after="20" w:line="252" w:lineRule="auto"/>
            </w:pPr>
            <w:r/>
            <w:r>
              <w:rPr>
                <w:rFonts w:ascii="Calibri" w:hAnsi="Calibri" w:eastAsia="Calibri"/>
                <w:b w:val="0"/>
                <w:i w:val="0"/>
                <w:color w:val="1A1A1A"/>
                <w:sz w:val="18"/>
              </w:rPr>
              <w:t>The rule that actually applies.</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Overtime</w:t>
            </w:r>
          </w:p>
        </w:tc>
        <w:tc>
          <w:tcPr>
            <w:tcW w:w="3840" w:type="dxa"/>
            <w:shd w:fill="FFFFFF" w:val="clear"/>
            <w:vAlign w:val="center"/>
          </w:tcPr>
          <w:p>
            <w:pPr>
              <w:spacing w:before="20" w:after="20" w:line="252" w:lineRule="auto"/>
            </w:pPr>
            <w:r/>
            <w:r>
              <w:rPr>
                <w:rFonts w:ascii="Calibri" w:hAnsi="Calibri" w:eastAsia="Calibri"/>
                <w:b w:val="0"/>
                <w:i w:val="0"/>
                <w:color w:val="1A1A1A"/>
                <w:sz w:val="18"/>
              </w:rPr>
              <w:t>Not recorded here.</w:t>
            </w:r>
          </w:p>
        </w:tc>
        <w:tc>
          <w:tcPr>
            <w:tcW w:w="3840" w:type="dxa"/>
            <w:shd w:fill="FFFFFF" w:val="clear"/>
            <w:vAlign w:val="center"/>
          </w:tcPr>
          <w:p>
            <w:pPr>
              <w:spacing w:before="20" w:after="20" w:line="252" w:lineRule="auto"/>
            </w:pPr>
            <w:r/>
            <w:r>
              <w:rPr>
                <w:rFonts w:ascii="Calibri" w:hAnsi="Calibri" w:eastAsia="Calibri"/>
                <w:b w:val="0"/>
                <w:i w:val="0"/>
                <w:color w:val="1A1A1A"/>
                <w:sz w:val="18"/>
              </w:rPr>
              <w:t>When it is worked, who authorises it, and whether it is paid, taken as time off, or absorbed in salary.</w:t>
            </w:r>
          </w:p>
        </w:tc>
      </w:tr>
    </w:tbl>
    <w:p>
      <w:pPr>
        <w:pStyle w:val="Heading2"/>
        <w:spacing w:before="200" w:after="80"/>
      </w:pPr>
      <w:r>
        <w:rPr>
          <w:rFonts w:ascii="Calibri" w:hAnsi="Calibri" w:eastAsia="Calibri"/>
          <w:color w:val="1F3D32"/>
        </w:rPr>
        <w:t>1.5 Current jobs and pay — fill-in register</w:t>
      </w:r>
    </w:p>
    <w:p>
      <w:pPr>
        <w:spacing w:before="120" w:after="120" w:line="269" w:lineRule="auto"/>
      </w:pPr>
      <w:r>
        <w:rPr>
          <w:rFonts w:ascii="Calibri" w:hAnsi="Calibri" w:eastAsia="Calibri"/>
          <w:b w:val="0"/>
          <w:i w:val="0"/>
          <w:color w:val="1A1A1A"/>
          <w:sz w:val="22"/>
        </w:rPr>
        <w:t>One row per job title. If people in the same job have different hours or pay, add a row or keep a confidential employee schedule outside this plan. CG to complete names and numbers. Levels shown are the proposed grades from Part 2, so the current post can be lined up against the target. They are not a statement of today’s grade.</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1450"/>
        <w:gridCol w:w="1750"/>
        <w:gridCol w:w="900"/>
        <w:gridCol w:w="550"/>
        <w:gridCol w:w="550"/>
        <w:gridCol w:w="1550"/>
        <w:gridCol w:w="1200"/>
        <w:gridCol w:w="2130"/>
      </w:tblGrid>
      <w:tr>
        <w:trPr>
          <w:tblHeader/>
          <w:cantSplit/>
        </w:trPr>
        <w:tc>
          <w:tcPr>
            <w:tcW w:w="1450" w:type="dxa"/>
            <w:shd w:fill="1B4D3E" w:val="clear"/>
            <w:vAlign w:val="center"/>
          </w:tcPr>
          <w:p>
            <w:pPr>
              <w:spacing w:before="20" w:after="20" w:line="252" w:lineRule="auto"/>
            </w:pPr>
            <w:r/>
            <w:r>
              <w:rPr>
                <w:rFonts w:ascii="Calibri" w:hAnsi="Calibri" w:eastAsia="Calibri"/>
                <w:b/>
                <w:i w:val="0"/>
                <w:color w:val="FFFFFF"/>
                <w:sz w:val="16"/>
              </w:rPr>
              <w:t>Department</w:t>
            </w:r>
          </w:p>
        </w:tc>
        <w:tc>
          <w:tcPr>
            <w:tcW w:w="1750" w:type="dxa"/>
            <w:shd w:fill="1B4D3E" w:val="clear"/>
            <w:vAlign w:val="center"/>
          </w:tcPr>
          <w:p>
            <w:pPr>
              <w:spacing w:before="20" w:after="20" w:line="252" w:lineRule="auto"/>
            </w:pPr>
            <w:r/>
            <w:r>
              <w:rPr>
                <w:rFonts w:ascii="Calibri" w:hAnsi="Calibri" w:eastAsia="Calibri"/>
                <w:b/>
                <w:i w:val="0"/>
                <w:color w:val="FFFFFF"/>
                <w:sz w:val="16"/>
              </w:rPr>
              <w:t>Job title</w:t>
            </w:r>
          </w:p>
        </w:tc>
        <w:tc>
          <w:tcPr>
            <w:tcW w:w="900" w:type="dxa"/>
            <w:shd w:fill="1B4D3E" w:val="clear"/>
            <w:vAlign w:val="center"/>
          </w:tcPr>
          <w:p>
            <w:pPr>
              <w:spacing w:before="20" w:after="20" w:line="252" w:lineRule="auto"/>
            </w:pPr>
            <w:r/>
            <w:r>
              <w:rPr>
                <w:rFonts w:ascii="Calibri" w:hAnsi="Calibri" w:eastAsia="Calibri"/>
                <w:b/>
                <w:i w:val="0"/>
                <w:color w:val="FFFFFF"/>
                <w:sz w:val="16"/>
              </w:rPr>
              <w:t>Proposed level</w:t>
            </w:r>
          </w:p>
        </w:tc>
        <w:tc>
          <w:tcPr>
            <w:tcW w:w="550" w:type="dxa"/>
            <w:shd w:fill="1B4D3E" w:val="clear"/>
            <w:vAlign w:val="center"/>
          </w:tcPr>
          <w:p>
            <w:pPr>
              <w:spacing w:before="20" w:after="20" w:line="252" w:lineRule="auto"/>
            </w:pPr>
            <w:r/>
            <w:r>
              <w:rPr>
                <w:rFonts w:ascii="Calibri" w:hAnsi="Calibri" w:eastAsia="Calibri"/>
                <w:b/>
                <w:i w:val="0"/>
                <w:color w:val="FFFFFF"/>
                <w:sz w:val="16"/>
              </w:rPr>
              <w:t>No.</w:t>
            </w:r>
          </w:p>
        </w:tc>
        <w:tc>
          <w:tcPr>
            <w:tcW w:w="550" w:type="dxa"/>
            <w:shd w:fill="1B4D3E" w:val="clear"/>
            <w:vAlign w:val="center"/>
          </w:tcPr>
          <w:p>
            <w:pPr>
              <w:spacing w:before="20" w:after="20" w:line="252" w:lineRule="auto"/>
            </w:pPr>
            <w:r/>
            <w:r>
              <w:rPr>
                <w:rFonts w:ascii="Calibri" w:hAnsi="Calibri" w:eastAsia="Calibri"/>
                <w:b/>
                <w:i w:val="0"/>
                <w:color w:val="FFFFFF"/>
                <w:sz w:val="16"/>
              </w:rPr>
              <w:t>FTE</w:t>
            </w:r>
          </w:p>
        </w:tc>
        <w:tc>
          <w:tcPr>
            <w:tcW w:w="1550" w:type="dxa"/>
            <w:shd w:fill="1B4D3E" w:val="clear"/>
            <w:vAlign w:val="center"/>
          </w:tcPr>
          <w:p>
            <w:pPr>
              <w:spacing w:before="20" w:after="20" w:line="252" w:lineRule="auto"/>
            </w:pPr>
            <w:r/>
            <w:r>
              <w:rPr>
                <w:rFonts w:ascii="Calibri" w:hAnsi="Calibri" w:eastAsia="Calibri"/>
                <w:b/>
                <w:i w:val="0"/>
                <w:color w:val="FFFFFF"/>
                <w:sz w:val="16"/>
              </w:rPr>
              <w:t>Current gross annual pay (€)</w:t>
            </w:r>
          </w:p>
        </w:tc>
        <w:tc>
          <w:tcPr>
            <w:tcW w:w="1200" w:type="dxa"/>
            <w:shd w:fill="1B4D3E" w:val="clear"/>
            <w:vAlign w:val="center"/>
          </w:tcPr>
          <w:p>
            <w:pPr>
              <w:spacing w:before="20" w:after="20" w:line="252" w:lineRule="auto"/>
            </w:pPr>
            <w:r/>
            <w:r>
              <w:rPr>
                <w:rFonts w:ascii="Calibri" w:hAnsi="Calibri" w:eastAsia="Calibri"/>
                <w:b/>
                <w:i w:val="0"/>
                <w:color w:val="FFFFFF"/>
                <w:sz w:val="16"/>
              </w:rPr>
              <w:t>Hours / contract</w:t>
            </w:r>
          </w:p>
        </w:tc>
        <w:tc>
          <w:tcPr>
            <w:tcW w:w="2130" w:type="dxa"/>
            <w:shd w:fill="1B4D3E" w:val="clear"/>
            <w:vAlign w:val="center"/>
          </w:tcPr>
          <w:p>
            <w:pPr>
              <w:spacing w:before="20" w:after="20" w:line="252" w:lineRule="auto"/>
            </w:pPr>
            <w:r/>
            <w:r>
              <w:rPr>
                <w:rFonts w:ascii="Calibri" w:hAnsi="Calibri" w:eastAsia="Calibri"/>
                <w:b/>
                <w:i w:val="0"/>
                <w:color w:val="FFFFFF"/>
                <w:sz w:val="16"/>
              </w:rPr>
              <w:t>Notes / vacancies</w:t>
            </w:r>
          </w:p>
        </w:tc>
      </w:tr>
      <w:tr>
        <w:trPr>
          <w:cantSplit/>
        </w:trPr>
        <w:tc>
          <w:tcPr>
            <w:tcW w:w="1450" w:type="dxa"/>
            <w:shd w:fill="FFFFFF" w:val="clear"/>
            <w:vAlign w:val="center"/>
          </w:tcPr>
          <w:p>
            <w:pPr>
              <w:spacing w:before="20" w:after="20" w:line="252" w:lineRule="auto"/>
            </w:pPr>
            <w:r/>
            <w:r>
              <w:rPr>
                <w:rFonts w:ascii="Calibri" w:hAnsi="Calibri" w:eastAsia="Calibri"/>
                <w:b w:val="0"/>
                <w:i w:val="0"/>
                <w:color w:val="1A1A1A"/>
                <w:sz w:val="16"/>
              </w:rPr>
              <w:t>Management</w:t>
            </w:r>
          </w:p>
        </w:tc>
        <w:tc>
          <w:tcPr>
            <w:tcW w:w="1750" w:type="dxa"/>
            <w:shd w:fill="FFFFFF" w:val="clear"/>
            <w:vAlign w:val="center"/>
          </w:tcPr>
          <w:p>
            <w:pPr>
              <w:spacing w:before="20" w:after="20" w:line="252" w:lineRule="auto"/>
            </w:pPr>
            <w:r/>
            <w:r>
              <w:rPr>
                <w:rFonts w:ascii="Calibri" w:hAnsi="Calibri" w:eastAsia="Calibri"/>
                <w:b w:val="0"/>
                <w:i w:val="0"/>
                <w:color w:val="1A1A1A"/>
                <w:sz w:val="16"/>
              </w:rPr>
              <w:t>Managing Director</w:t>
            </w:r>
          </w:p>
        </w:tc>
        <w:tc>
          <w:tcPr>
            <w:tcW w:w="900" w:type="dxa"/>
            <w:shd w:fill="FFFFFF" w:val="clear"/>
            <w:vAlign w:val="center"/>
          </w:tcPr>
          <w:p>
            <w:pPr>
              <w:spacing w:before="20" w:after="20" w:line="252" w:lineRule="auto"/>
            </w:pPr>
            <w:r/>
            <w:r>
              <w:rPr>
                <w:rFonts w:ascii="Calibri" w:hAnsi="Calibri" w:eastAsia="Calibri"/>
                <w:b w:val="0"/>
                <w:i w:val="0"/>
                <w:color w:val="1A1A1A"/>
                <w:sz w:val="16"/>
              </w:rPr>
              <w:t>L1</w:t>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1550" w:type="dxa"/>
            <w:shd w:fill="FFFFFF" w:val="clear"/>
            <w:vAlign w:val="center"/>
          </w:tcPr>
          <w:p>
            <w:pPr>
              <w:spacing w:before="20" w:after="20" w:line="252" w:lineRule="auto"/>
            </w:pPr>
            <w:r/>
            <w:r>
              <w:rPr>
                <w:rFonts w:ascii="Calibri" w:hAnsi="Calibri" w:eastAsia="Calibri"/>
                <w:b w:val="0"/>
                <w:i w:val="0"/>
                <w:color w:val="1A1A1A"/>
                <w:sz w:val="16"/>
              </w:rPr>
            </w:r>
          </w:p>
        </w:tc>
        <w:tc>
          <w:tcPr>
            <w:tcW w:w="1200" w:type="dxa"/>
            <w:shd w:fill="FFFFFF" w:val="clear"/>
            <w:vAlign w:val="center"/>
          </w:tcPr>
          <w:p>
            <w:pPr>
              <w:spacing w:before="20" w:after="20" w:line="252" w:lineRule="auto"/>
            </w:pPr>
            <w:r/>
            <w:r>
              <w:rPr>
                <w:rFonts w:ascii="Calibri" w:hAnsi="Calibri" w:eastAsia="Calibri"/>
                <w:b w:val="0"/>
                <w:i w:val="0"/>
                <w:color w:val="1A1A1A"/>
                <w:sz w:val="16"/>
              </w:rPr>
            </w:r>
          </w:p>
        </w:tc>
        <w:tc>
          <w:tcPr>
            <w:tcW w:w="213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4F7F4" w:val="clear"/>
            <w:vAlign w:val="center"/>
          </w:tcPr>
          <w:p>
            <w:pPr>
              <w:spacing w:before="20" w:after="20" w:line="252" w:lineRule="auto"/>
            </w:pPr>
            <w:r/>
            <w:r>
              <w:rPr>
                <w:rFonts w:ascii="Calibri" w:hAnsi="Calibri" w:eastAsia="Calibri"/>
                <w:b w:val="0"/>
                <w:i w:val="0"/>
                <w:color w:val="1A1A1A"/>
                <w:sz w:val="16"/>
              </w:rPr>
              <w:t>Finance / Admin</w:t>
            </w:r>
          </w:p>
        </w:tc>
        <w:tc>
          <w:tcPr>
            <w:tcW w:w="1750" w:type="dxa"/>
            <w:shd w:fill="F4F7F4" w:val="clear"/>
            <w:vAlign w:val="center"/>
          </w:tcPr>
          <w:p>
            <w:pPr>
              <w:spacing w:before="20" w:after="20" w:line="252" w:lineRule="auto"/>
            </w:pPr>
            <w:r/>
            <w:r>
              <w:rPr>
                <w:rFonts w:ascii="Calibri" w:hAnsi="Calibri" w:eastAsia="Calibri"/>
                <w:b w:val="0"/>
                <w:i w:val="0"/>
                <w:color w:val="1A1A1A"/>
                <w:sz w:val="16"/>
              </w:rPr>
              <w:t>Finance &amp; Administration Manager</w:t>
            </w:r>
          </w:p>
        </w:tc>
        <w:tc>
          <w:tcPr>
            <w:tcW w:w="900" w:type="dxa"/>
            <w:shd w:fill="F4F7F4" w:val="clear"/>
            <w:vAlign w:val="center"/>
          </w:tcPr>
          <w:p>
            <w:pPr>
              <w:spacing w:before="20" w:after="20" w:line="252" w:lineRule="auto"/>
            </w:pPr>
            <w:r/>
            <w:r>
              <w:rPr>
                <w:rFonts w:ascii="Calibri" w:hAnsi="Calibri" w:eastAsia="Calibri"/>
                <w:b w:val="0"/>
                <w:i w:val="0"/>
                <w:color w:val="1A1A1A"/>
                <w:sz w:val="16"/>
              </w:rPr>
              <w:t>L2</w:t>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1550" w:type="dxa"/>
            <w:shd w:fill="F4F7F4" w:val="clear"/>
            <w:vAlign w:val="center"/>
          </w:tcPr>
          <w:p>
            <w:pPr>
              <w:spacing w:before="20" w:after="20" w:line="252" w:lineRule="auto"/>
            </w:pPr>
            <w:r/>
            <w:r>
              <w:rPr>
                <w:rFonts w:ascii="Calibri" w:hAnsi="Calibri" w:eastAsia="Calibri"/>
                <w:b w:val="0"/>
                <w:i w:val="0"/>
                <w:color w:val="1A1A1A"/>
                <w:sz w:val="16"/>
              </w:rPr>
            </w:r>
          </w:p>
        </w:tc>
        <w:tc>
          <w:tcPr>
            <w:tcW w:w="1200" w:type="dxa"/>
            <w:shd w:fill="F4F7F4" w:val="clear"/>
            <w:vAlign w:val="center"/>
          </w:tcPr>
          <w:p>
            <w:pPr>
              <w:spacing w:before="20" w:after="20" w:line="252" w:lineRule="auto"/>
            </w:pPr>
            <w:r/>
            <w:r>
              <w:rPr>
                <w:rFonts w:ascii="Calibri" w:hAnsi="Calibri" w:eastAsia="Calibri"/>
                <w:b w:val="0"/>
                <w:i w:val="0"/>
                <w:color w:val="1A1A1A"/>
                <w:sz w:val="16"/>
              </w:rPr>
            </w:r>
          </w:p>
        </w:tc>
        <w:tc>
          <w:tcPr>
            <w:tcW w:w="213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FFFFF" w:val="clear"/>
            <w:vAlign w:val="center"/>
          </w:tcPr>
          <w:p>
            <w:pPr>
              <w:spacing w:before="20" w:after="20" w:line="252" w:lineRule="auto"/>
            </w:pPr>
            <w:r/>
            <w:r>
              <w:rPr>
                <w:rFonts w:ascii="Calibri" w:hAnsi="Calibri" w:eastAsia="Calibri"/>
                <w:b w:val="0"/>
                <w:i w:val="0"/>
                <w:color w:val="1A1A1A"/>
                <w:sz w:val="16"/>
              </w:rPr>
              <w:t>Sales / Marketing</w:t>
            </w:r>
          </w:p>
        </w:tc>
        <w:tc>
          <w:tcPr>
            <w:tcW w:w="1750" w:type="dxa"/>
            <w:shd w:fill="FFFFFF" w:val="clear"/>
            <w:vAlign w:val="center"/>
          </w:tcPr>
          <w:p>
            <w:pPr>
              <w:spacing w:before="20" w:after="20" w:line="252" w:lineRule="auto"/>
            </w:pPr>
            <w:r/>
            <w:r>
              <w:rPr>
                <w:rFonts w:ascii="Calibri" w:hAnsi="Calibri" w:eastAsia="Calibri"/>
                <w:b w:val="0"/>
                <w:i w:val="0"/>
                <w:color w:val="1A1A1A"/>
                <w:sz w:val="16"/>
              </w:rPr>
              <w:t>Sales &amp; Marketing Manager</w:t>
            </w:r>
          </w:p>
        </w:tc>
        <w:tc>
          <w:tcPr>
            <w:tcW w:w="900" w:type="dxa"/>
            <w:shd w:fill="FFFFFF" w:val="clear"/>
            <w:vAlign w:val="center"/>
          </w:tcPr>
          <w:p>
            <w:pPr>
              <w:spacing w:before="20" w:after="20" w:line="252" w:lineRule="auto"/>
            </w:pPr>
            <w:r/>
            <w:r>
              <w:rPr>
                <w:rFonts w:ascii="Calibri" w:hAnsi="Calibri" w:eastAsia="Calibri"/>
                <w:b w:val="0"/>
                <w:i w:val="0"/>
                <w:color w:val="1A1A1A"/>
                <w:sz w:val="16"/>
              </w:rPr>
              <w:t>L2</w:t>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1550" w:type="dxa"/>
            <w:shd w:fill="FFFFFF" w:val="clear"/>
            <w:vAlign w:val="center"/>
          </w:tcPr>
          <w:p>
            <w:pPr>
              <w:spacing w:before="20" w:after="20" w:line="252" w:lineRule="auto"/>
            </w:pPr>
            <w:r/>
            <w:r>
              <w:rPr>
                <w:rFonts w:ascii="Calibri" w:hAnsi="Calibri" w:eastAsia="Calibri"/>
                <w:b w:val="0"/>
                <w:i w:val="0"/>
                <w:color w:val="1A1A1A"/>
                <w:sz w:val="16"/>
              </w:rPr>
            </w:r>
          </w:p>
        </w:tc>
        <w:tc>
          <w:tcPr>
            <w:tcW w:w="1200" w:type="dxa"/>
            <w:shd w:fill="FFFFFF" w:val="clear"/>
            <w:vAlign w:val="center"/>
          </w:tcPr>
          <w:p>
            <w:pPr>
              <w:spacing w:before="20" w:after="20" w:line="252" w:lineRule="auto"/>
            </w:pPr>
            <w:r/>
            <w:r>
              <w:rPr>
                <w:rFonts w:ascii="Calibri" w:hAnsi="Calibri" w:eastAsia="Calibri"/>
                <w:b w:val="0"/>
                <w:i w:val="0"/>
                <w:color w:val="1A1A1A"/>
                <w:sz w:val="16"/>
              </w:rPr>
            </w:r>
          </w:p>
        </w:tc>
        <w:tc>
          <w:tcPr>
            <w:tcW w:w="213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4F7F4" w:val="clear"/>
            <w:vAlign w:val="center"/>
          </w:tcPr>
          <w:p>
            <w:pPr>
              <w:spacing w:before="20" w:after="20" w:line="252" w:lineRule="auto"/>
            </w:pPr>
            <w:r/>
            <w:r>
              <w:rPr>
                <w:rFonts w:ascii="Calibri" w:hAnsi="Calibri" w:eastAsia="Calibri"/>
                <w:b w:val="0"/>
                <w:i w:val="0"/>
                <w:color w:val="1A1A1A"/>
                <w:sz w:val="16"/>
              </w:rPr>
              <w:t>Golf operations</w:t>
            </w:r>
          </w:p>
        </w:tc>
        <w:tc>
          <w:tcPr>
            <w:tcW w:w="1750" w:type="dxa"/>
            <w:shd w:fill="F4F7F4" w:val="clear"/>
            <w:vAlign w:val="center"/>
          </w:tcPr>
          <w:p>
            <w:pPr>
              <w:spacing w:before="20" w:after="20" w:line="252" w:lineRule="auto"/>
            </w:pPr>
            <w:r/>
            <w:r>
              <w:rPr>
                <w:rFonts w:ascii="Calibri" w:hAnsi="Calibri" w:eastAsia="Calibri"/>
                <w:b w:val="0"/>
                <w:i w:val="0"/>
                <w:color w:val="1A1A1A"/>
                <w:sz w:val="16"/>
              </w:rPr>
              <w:t>Golf Operations Manager</w:t>
            </w:r>
          </w:p>
        </w:tc>
        <w:tc>
          <w:tcPr>
            <w:tcW w:w="900" w:type="dxa"/>
            <w:shd w:fill="F4F7F4" w:val="clear"/>
            <w:vAlign w:val="center"/>
          </w:tcPr>
          <w:p>
            <w:pPr>
              <w:spacing w:before="20" w:after="20" w:line="252" w:lineRule="auto"/>
            </w:pPr>
            <w:r/>
            <w:r>
              <w:rPr>
                <w:rFonts w:ascii="Calibri" w:hAnsi="Calibri" w:eastAsia="Calibri"/>
                <w:b w:val="0"/>
                <w:i w:val="0"/>
                <w:color w:val="1A1A1A"/>
                <w:sz w:val="16"/>
              </w:rPr>
              <w:t>L2</w:t>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1550" w:type="dxa"/>
            <w:shd w:fill="F4F7F4" w:val="clear"/>
            <w:vAlign w:val="center"/>
          </w:tcPr>
          <w:p>
            <w:pPr>
              <w:spacing w:before="20" w:after="20" w:line="252" w:lineRule="auto"/>
            </w:pPr>
            <w:r/>
            <w:r>
              <w:rPr>
                <w:rFonts w:ascii="Calibri" w:hAnsi="Calibri" w:eastAsia="Calibri"/>
                <w:b w:val="0"/>
                <w:i w:val="0"/>
                <w:color w:val="1A1A1A"/>
                <w:sz w:val="16"/>
              </w:rPr>
            </w:r>
          </w:p>
        </w:tc>
        <w:tc>
          <w:tcPr>
            <w:tcW w:w="1200" w:type="dxa"/>
            <w:shd w:fill="F4F7F4" w:val="clear"/>
            <w:vAlign w:val="center"/>
          </w:tcPr>
          <w:p>
            <w:pPr>
              <w:spacing w:before="20" w:after="20" w:line="252" w:lineRule="auto"/>
            </w:pPr>
            <w:r/>
            <w:r>
              <w:rPr>
                <w:rFonts w:ascii="Calibri" w:hAnsi="Calibri" w:eastAsia="Calibri"/>
                <w:b w:val="0"/>
                <w:i w:val="0"/>
                <w:color w:val="1A1A1A"/>
                <w:sz w:val="16"/>
              </w:rPr>
            </w:r>
          </w:p>
        </w:tc>
        <w:tc>
          <w:tcPr>
            <w:tcW w:w="213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FFFFF" w:val="clear"/>
            <w:vAlign w:val="center"/>
          </w:tcPr>
          <w:p>
            <w:pPr>
              <w:spacing w:before="20" w:after="20" w:line="252" w:lineRule="auto"/>
            </w:pPr>
            <w:r/>
            <w:r>
              <w:rPr>
                <w:rFonts w:ascii="Calibri" w:hAnsi="Calibri" w:eastAsia="Calibri"/>
                <w:b w:val="0"/>
                <w:i w:val="0"/>
                <w:color w:val="1A1A1A"/>
                <w:sz w:val="16"/>
              </w:rPr>
              <w:t>Course</w:t>
            </w:r>
          </w:p>
        </w:tc>
        <w:tc>
          <w:tcPr>
            <w:tcW w:w="1750" w:type="dxa"/>
            <w:shd w:fill="FFFFFF" w:val="clear"/>
            <w:vAlign w:val="center"/>
          </w:tcPr>
          <w:p>
            <w:pPr>
              <w:spacing w:before="20" w:after="20" w:line="252" w:lineRule="auto"/>
            </w:pPr>
            <w:r/>
            <w:r>
              <w:rPr>
                <w:rFonts w:ascii="Calibri" w:hAnsi="Calibri" w:eastAsia="Calibri"/>
                <w:b w:val="0"/>
                <w:i w:val="0"/>
                <w:color w:val="1A1A1A"/>
                <w:sz w:val="16"/>
              </w:rPr>
              <w:t>Course Manager / Head Greenkeeper</w:t>
            </w:r>
          </w:p>
        </w:tc>
        <w:tc>
          <w:tcPr>
            <w:tcW w:w="900" w:type="dxa"/>
            <w:shd w:fill="FFFFFF" w:val="clear"/>
            <w:vAlign w:val="center"/>
          </w:tcPr>
          <w:p>
            <w:pPr>
              <w:spacing w:before="20" w:after="20" w:line="252" w:lineRule="auto"/>
            </w:pPr>
            <w:r/>
            <w:r>
              <w:rPr>
                <w:rFonts w:ascii="Calibri" w:hAnsi="Calibri" w:eastAsia="Calibri"/>
                <w:b w:val="0"/>
                <w:i w:val="0"/>
                <w:color w:val="1A1A1A"/>
                <w:sz w:val="16"/>
              </w:rPr>
              <w:t>L2</w:t>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1550" w:type="dxa"/>
            <w:shd w:fill="FFFFFF" w:val="clear"/>
            <w:vAlign w:val="center"/>
          </w:tcPr>
          <w:p>
            <w:pPr>
              <w:spacing w:before="20" w:after="20" w:line="252" w:lineRule="auto"/>
            </w:pPr>
            <w:r/>
            <w:r>
              <w:rPr>
                <w:rFonts w:ascii="Calibri" w:hAnsi="Calibri" w:eastAsia="Calibri"/>
                <w:b w:val="0"/>
                <w:i w:val="0"/>
                <w:color w:val="1A1A1A"/>
                <w:sz w:val="16"/>
              </w:rPr>
            </w:r>
          </w:p>
        </w:tc>
        <w:tc>
          <w:tcPr>
            <w:tcW w:w="1200" w:type="dxa"/>
            <w:shd w:fill="FFFFFF" w:val="clear"/>
            <w:vAlign w:val="center"/>
          </w:tcPr>
          <w:p>
            <w:pPr>
              <w:spacing w:before="20" w:after="20" w:line="252" w:lineRule="auto"/>
            </w:pPr>
            <w:r/>
            <w:r>
              <w:rPr>
                <w:rFonts w:ascii="Calibri" w:hAnsi="Calibri" w:eastAsia="Calibri"/>
                <w:b w:val="0"/>
                <w:i w:val="0"/>
                <w:color w:val="1A1A1A"/>
                <w:sz w:val="16"/>
              </w:rPr>
            </w:r>
          </w:p>
        </w:tc>
        <w:tc>
          <w:tcPr>
            <w:tcW w:w="213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4F7F4" w:val="clear"/>
            <w:vAlign w:val="center"/>
          </w:tcPr>
          <w:p>
            <w:pPr>
              <w:spacing w:before="20" w:after="20" w:line="252" w:lineRule="auto"/>
            </w:pPr>
            <w:r/>
            <w:r>
              <w:rPr>
                <w:rFonts w:ascii="Calibri" w:hAnsi="Calibri" w:eastAsia="Calibri"/>
                <w:b w:val="0"/>
                <w:i w:val="0"/>
                <w:color w:val="1A1A1A"/>
                <w:sz w:val="16"/>
              </w:rPr>
              <w:t>Clubhouse / Restaurant</w:t>
            </w:r>
          </w:p>
        </w:tc>
        <w:tc>
          <w:tcPr>
            <w:tcW w:w="1750" w:type="dxa"/>
            <w:shd w:fill="F4F7F4" w:val="clear"/>
            <w:vAlign w:val="center"/>
          </w:tcPr>
          <w:p>
            <w:pPr>
              <w:spacing w:before="20" w:after="20" w:line="252" w:lineRule="auto"/>
            </w:pPr>
            <w:r/>
            <w:r>
              <w:rPr>
                <w:rFonts w:ascii="Calibri" w:hAnsi="Calibri" w:eastAsia="Calibri"/>
                <w:b w:val="0"/>
                <w:i w:val="0"/>
                <w:color w:val="1A1A1A"/>
                <w:sz w:val="16"/>
              </w:rPr>
              <w:t>Clubhouse &amp; Restaurant Manager</w:t>
            </w:r>
          </w:p>
        </w:tc>
        <w:tc>
          <w:tcPr>
            <w:tcW w:w="900" w:type="dxa"/>
            <w:shd w:fill="F4F7F4" w:val="clear"/>
            <w:vAlign w:val="center"/>
          </w:tcPr>
          <w:p>
            <w:pPr>
              <w:spacing w:before="20" w:after="20" w:line="252" w:lineRule="auto"/>
            </w:pPr>
            <w:r/>
            <w:r>
              <w:rPr>
                <w:rFonts w:ascii="Calibri" w:hAnsi="Calibri" w:eastAsia="Calibri"/>
                <w:b w:val="0"/>
                <w:i w:val="0"/>
                <w:color w:val="1A1A1A"/>
                <w:sz w:val="16"/>
              </w:rPr>
              <w:t>L2</w:t>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1550" w:type="dxa"/>
            <w:shd w:fill="F4F7F4" w:val="clear"/>
            <w:vAlign w:val="center"/>
          </w:tcPr>
          <w:p>
            <w:pPr>
              <w:spacing w:before="20" w:after="20" w:line="252" w:lineRule="auto"/>
            </w:pPr>
            <w:r/>
            <w:r>
              <w:rPr>
                <w:rFonts w:ascii="Calibri" w:hAnsi="Calibri" w:eastAsia="Calibri"/>
                <w:b w:val="0"/>
                <w:i w:val="0"/>
                <w:color w:val="1A1A1A"/>
                <w:sz w:val="16"/>
              </w:rPr>
            </w:r>
          </w:p>
        </w:tc>
        <w:tc>
          <w:tcPr>
            <w:tcW w:w="1200" w:type="dxa"/>
            <w:shd w:fill="F4F7F4" w:val="clear"/>
            <w:vAlign w:val="center"/>
          </w:tcPr>
          <w:p>
            <w:pPr>
              <w:spacing w:before="20" w:after="20" w:line="252" w:lineRule="auto"/>
            </w:pPr>
            <w:r/>
            <w:r>
              <w:rPr>
                <w:rFonts w:ascii="Calibri" w:hAnsi="Calibri" w:eastAsia="Calibri"/>
                <w:b w:val="0"/>
                <w:i w:val="0"/>
                <w:color w:val="1A1A1A"/>
                <w:sz w:val="16"/>
              </w:rPr>
            </w:r>
          </w:p>
        </w:tc>
        <w:tc>
          <w:tcPr>
            <w:tcW w:w="213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FFFFF" w:val="clear"/>
            <w:vAlign w:val="center"/>
          </w:tcPr>
          <w:p>
            <w:pPr>
              <w:spacing w:before="20" w:after="20" w:line="252" w:lineRule="auto"/>
            </w:pPr>
            <w:r/>
            <w:r>
              <w:rPr>
                <w:rFonts w:ascii="Calibri" w:hAnsi="Calibri" w:eastAsia="Calibri"/>
                <w:b w:val="0"/>
                <w:i w:val="0"/>
                <w:color w:val="1A1A1A"/>
                <w:sz w:val="16"/>
              </w:rPr>
              <w:t>Course</w:t>
            </w:r>
          </w:p>
        </w:tc>
        <w:tc>
          <w:tcPr>
            <w:tcW w:w="1750" w:type="dxa"/>
            <w:shd w:fill="FFFFFF" w:val="clear"/>
            <w:vAlign w:val="center"/>
          </w:tcPr>
          <w:p>
            <w:pPr>
              <w:spacing w:before="20" w:after="20" w:line="252" w:lineRule="auto"/>
            </w:pPr>
            <w:r/>
            <w:r>
              <w:rPr>
                <w:rFonts w:ascii="Calibri" w:hAnsi="Calibri" w:eastAsia="Calibri"/>
                <w:b w:val="0"/>
                <w:i w:val="0"/>
                <w:color w:val="1A1A1A"/>
                <w:sz w:val="16"/>
              </w:rPr>
              <w:t>Greenkeeper</w:t>
            </w:r>
          </w:p>
        </w:tc>
        <w:tc>
          <w:tcPr>
            <w:tcW w:w="900" w:type="dxa"/>
            <w:shd w:fill="FFFFFF" w:val="clear"/>
            <w:vAlign w:val="center"/>
          </w:tcPr>
          <w:p>
            <w:pPr>
              <w:spacing w:before="20" w:after="20" w:line="252" w:lineRule="auto"/>
            </w:pPr>
            <w:r/>
            <w:r>
              <w:rPr>
                <w:rFonts w:ascii="Calibri" w:hAnsi="Calibri" w:eastAsia="Calibri"/>
                <w:b w:val="0"/>
                <w:i w:val="0"/>
                <w:color w:val="1A1A1A"/>
                <w:sz w:val="16"/>
              </w:rPr>
              <w:t>L5</w:t>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1550" w:type="dxa"/>
            <w:shd w:fill="FFFFFF" w:val="clear"/>
            <w:vAlign w:val="center"/>
          </w:tcPr>
          <w:p>
            <w:pPr>
              <w:spacing w:before="20" w:after="20" w:line="252" w:lineRule="auto"/>
            </w:pPr>
            <w:r/>
            <w:r>
              <w:rPr>
                <w:rFonts w:ascii="Calibri" w:hAnsi="Calibri" w:eastAsia="Calibri"/>
                <w:b w:val="0"/>
                <w:i w:val="0"/>
                <w:color w:val="1A1A1A"/>
                <w:sz w:val="16"/>
              </w:rPr>
            </w:r>
          </w:p>
        </w:tc>
        <w:tc>
          <w:tcPr>
            <w:tcW w:w="1200" w:type="dxa"/>
            <w:shd w:fill="FFFFFF" w:val="clear"/>
            <w:vAlign w:val="center"/>
          </w:tcPr>
          <w:p>
            <w:pPr>
              <w:spacing w:before="20" w:after="20" w:line="252" w:lineRule="auto"/>
            </w:pPr>
            <w:r/>
            <w:r>
              <w:rPr>
                <w:rFonts w:ascii="Calibri" w:hAnsi="Calibri" w:eastAsia="Calibri"/>
                <w:b w:val="0"/>
                <w:i w:val="0"/>
                <w:color w:val="1A1A1A"/>
                <w:sz w:val="16"/>
              </w:rPr>
            </w:r>
          </w:p>
        </w:tc>
        <w:tc>
          <w:tcPr>
            <w:tcW w:w="213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4F7F4" w:val="clear"/>
            <w:vAlign w:val="center"/>
          </w:tcPr>
          <w:p>
            <w:pPr>
              <w:spacing w:before="20" w:after="20" w:line="252" w:lineRule="auto"/>
            </w:pPr>
            <w:r/>
            <w:r>
              <w:rPr>
                <w:rFonts w:ascii="Calibri" w:hAnsi="Calibri" w:eastAsia="Calibri"/>
                <w:b w:val="0"/>
                <w:i w:val="0"/>
                <w:color w:val="1A1A1A"/>
                <w:sz w:val="16"/>
              </w:rPr>
              <w:t>Golf operations</w:t>
            </w:r>
          </w:p>
        </w:tc>
        <w:tc>
          <w:tcPr>
            <w:tcW w:w="1750" w:type="dxa"/>
            <w:shd w:fill="F4F7F4" w:val="clear"/>
            <w:vAlign w:val="center"/>
          </w:tcPr>
          <w:p>
            <w:pPr>
              <w:spacing w:before="20" w:after="20" w:line="252" w:lineRule="auto"/>
            </w:pPr>
            <w:r/>
            <w:r>
              <w:rPr>
                <w:rFonts w:ascii="Calibri" w:hAnsi="Calibri" w:eastAsia="Calibri"/>
                <w:b w:val="0"/>
                <w:i w:val="0"/>
                <w:color w:val="1A1A1A"/>
                <w:sz w:val="16"/>
              </w:rPr>
              <w:t>Golf Marshal</w:t>
            </w:r>
          </w:p>
        </w:tc>
        <w:tc>
          <w:tcPr>
            <w:tcW w:w="900" w:type="dxa"/>
            <w:shd w:fill="F4F7F4" w:val="clear"/>
            <w:vAlign w:val="center"/>
          </w:tcPr>
          <w:p>
            <w:pPr>
              <w:spacing w:before="20" w:after="20" w:line="252" w:lineRule="auto"/>
            </w:pPr>
            <w:r/>
            <w:r>
              <w:rPr>
                <w:rFonts w:ascii="Calibri" w:hAnsi="Calibri" w:eastAsia="Calibri"/>
                <w:b w:val="0"/>
                <w:i w:val="0"/>
                <w:color w:val="1A1A1A"/>
                <w:sz w:val="16"/>
              </w:rPr>
              <w:t>L5</w:t>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1550" w:type="dxa"/>
            <w:shd w:fill="F4F7F4" w:val="clear"/>
            <w:vAlign w:val="center"/>
          </w:tcPr>
          <w:p>
            <w:pPr>
              <w:spacing w:before="20" w:after="20" w:line="252" w:lineRule="auto"/>
            </w:pPr>
            <w:r/>
            <w:r>
              <w:rPr>
                <w:rFonts w:ascii="Calibri" w:hAnsi="Calibri" w:eastAsia="Calibri"/>
                <w:b w:val="0"/>
                <w:i w:val="0"/>
                <w:color w:val="1A1A1A"/>
                <w:sz w:val="16"/>
              </w:rPr>
            </w:r>
          </w:p>
        </w:tc>
        <w:tc>
          <w:tcPr>
            <w:tcW w:w="1200" w:type="dxa"/>
            <w:shd w:fill="F4F7F4" w:val="clear"/>
            <w:vAlign w:val="center"/>
          </w:tcPr>
          <w:p>
            <w:pPr>
              <w:spacing w:before="20" w:after="20" w:line="252" w:lineRule="auto"/>
            </w:pPr>
            <w:r/>
            <w:r>
              <w:rPr>
                <w:rFonts w:ascii="Calibri" w:hAnsi="Calibri" w:eastAsia="Calibri"/>
                <w:b w:val="0"/>
                <w:i w:val="0"/>
                <w:color w:val="1A1A1A"/>
                <w:sz w:val="16"/>
              </w:rPr>
            </w:r>
          </w:p>
        </w:tc>
        <w:tc>
          <w:tcPr>
            <w:tcW w:w="213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FFFFF" w:val="clear"/>
            <w:vAlign w:val="center"/>
          </w:tcPr>
          <w:p>
            <w:pPr>
              <w:spacing w:before="20" w:after="20" w:line="252" w:lineRule="auto"/>
            </w:pPr>
            <w:r/>
            <w:r>
              <w:rPr>
                <w:rFonts w:ascii="Calibri" w:hAnsi="Calibri" w:eastAsia="Calibri"/>
                <w:b w:val="0"/>
                <w:i w:val="0"/>
                <w:color w:val="1A1A1A"/>
                <w:sz w:val="16"/>
              </w:rPr>
              <w:t>Finance / Admin or Operations</w:t>
            </w:r>
          </w:p>
        </w:tc>
        <w:tc>
          <w:tcPr>
            <w:tcW w:w="1750" w:type="dxa"/>
            <w:shd w:fill="FFFFFF" w:val="clear"/>
            <w:vAlign w:val="center"/>
          </w:tcPr>
          <w:p>
            <w:pPr>
              <w:spacing w:before="20" w:after="20" w:line="252" w:lineRule="auto"/>
            </w:pPr>
            <w:r/>
            <w:r>
              <w:rPr>
                <w:rFonts w:ascii="Calibri" w:hAnsi="Calibri" w:eastAsia="Calibri"/>
                <w:b w:val="0"/>
                <w:i w:val="0"/>
                <w:color w:val="1A1A1A"/>
                <w:sz w:val="16"/>
              </w:rPr>
              <w:t>Administrator / Receptionist</w:t>
            </w:r>
          </w:p>
        </w:tc>
        <w:tc>
          <w:tcPr>
            <w:tcW w:w="900" w:type="dxa"/>
            <w:shd w:fill="FFFFFF" w:val="clear"/>
            <w:vAlign w:val="center"/>
          </w:tcPr>
          <w:p>
            <w:pPr>
              <w:spacing w:before="20" w:after="20" w:line="252" w:lineRule="auto"/>
            </w:pPr>
            <w:r/>
            <w:r>
              <w:rPr>
                <w:rFonts w:ascii="Calibri" w:hAnsi="Calibri" w:eastAsia="Calibri"/>
                <w:b w:val="0"/>
                <w:i w:val="0"/>
                <w:color w:val="1A1A1A"/>
                <w:sz w:val="16"/>
              </w:rPr>
              <w:t>L5</w:t>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1550" w:type="dxa"/>
            <w:shd w:fill="FFFFFF" w:val="clear"/>
            <w:vAlign w:val="center"/>
          </w:tcPr>
          <w:p>
            <w:pPr>
              <w:spacing w:before="20" w:after="20" w:line="252" w:lineRule="auto"/>
            </w:pPr>
            <w:r/>
            <w:r>
              <w:rPr>
                <w:rFonts w:ascii="Calibri" w:hAnsi="Calibri" w:eastAsia="Calibri"/>
                <w:b w:val="0"/>
                <w:i w:val="0"/>
                <w:color w:val="1A1A1A"/>
                <w:sz w:val="16"/>
              </w:rPr>
            </w:r>
          </w:p>
        </w:tc>
        <w:tc>
          <w:tcPr>
            <w:tcW w:w="1200" w:type="dxa"/>
            <w:shd w:fill="FFFFFF" w:val="clear"/>
            <w:vAlign w:val="center"/>
          </w:tcPr>
          <w:p>
            <w:pPr>
              <w:spacing w:before="20" w:after="20" w:line="252" w:lineRule="auto"/>
            </w:pPr>
            <w:r/>
            <w:r>
              <w:rPr>
                <w:rFonts w:ascii="Calibri" w:hAnsi="Calibri" w:eastAsia="Calibri"/>
                <w:b w:val="0"/>
                <w:i w:val="0"/>
                <w:color w:val="1A1A1A"/>
                <w:sz w:val="16"/>
              </w:rPr>
            </w:r>
          </w:p>
        </w:tc>
        <w:tc>
          <w:tcPr>
            <w:tcW w:w="213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4F7F4" w:val="clear"/>
            <w:vAlign w:val="center"/>
          </w:tcPr>
          <w:p>
            <w:pPr>
              <w:spacing w:before="20" w:after="20" w:line="252" w:lineRule="auto"/>
            </w:pPr>
            <w:r/>
            <w:r>
              <w:rPr>
                <w:rFonts w:ascii="Calibri" w:hAnsi="Calibri" w:eastAsia="Calibri"/>
                <w:b w:val="0"/>
                <w:i w:val="0"/>
                <w:color w:val="1A1A1A"/>
                <w:sz w:val="16"/>
              </w:rPr>
              <w:t>Clubhouse / Restaurant</w:t>
            </w:r>
          </w:p>
        </w:tc>
        <w:tc>
          <w:tcPr>
            <w:tcW w:w="1750" w:type="dxa"/>
            <w:shd w:fill="F4F7F4" w:val="clear"/>
            <w:vAlign w:val="center"/>
          </w:tcPr>
          <w:p>
            <w:pPr>
              <w:spacing w:before="20" w:after="20" w:line="252" w:lineRule="auto"/>
            </w:pPr>
            <w:r/>
            <w:r>
              <w:rPr>
                <w:rFonts w:ascii="Calibri" w:hAnsi="Calibri" w:eastAsia="Calibri"/>
                <w:b w:val="0"/>
                <w:i w:val="0"/>
                <w:color w:val="1A1A1A"/>
                <w:sz w:val="16"/>
              </w:rPr>
              <w:t>Chef / kitchen staff</w:t>
            </w:r>
          </w:p>
        </w:tc>
        <w:tc>
          <w:tcPr>
            <w:tcW w:w="900" w:type="dxa"/>
            <w:shd w:fill="F4F7F4" w:val="clear"/>
            <w:vAlign w:val="center"/>
          </w:tcPr>
          <w:p>
            <w:pPr>
              <w:spacing w:before="20" w:after="20" w:line="252" w:lineRule="auto"/>
            </w:pPr>
            <w:r/>
            <w:r>
              <w:rPr>
                <w:rFonts w:ascii="Calibri" w:hAnsi="Calibri" w:eastAsia="Calibri"/>
                <w:b w:val="0"/>
                <w:i w:val="0"/>
                <w:color w:val="1A1A1A"/>
                <w:sz w:val="16"/>
              </w:rPr>
              <w:t>L4 / L5</w:t>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1550" w:type="dxa"/>
            <w:shd w:fill="F4F7F4" w:val="clear"/>
            <w:vAlign w:val="center"/>
          </w:tcPr>
          <w:p>
            <w:pPr>
              <w:spacing w:before="20" w:after="20" w:line="252" w:lineRule="auto"/>
            </w:pPr>
            <w:r/>
            <w:r>
              <w:rPr>
                <w:rFonts w:ascii="Calibri" w:hAnsi="Calibri" w:eastAsia="Calibri"/>
                <w:b w:val="0"/>
                <w:i w:val="0"/>
                <w:color w:val="1A1A1A"/>
                <w:sz w:val="16"/>
              </w:rPr>
            </w:r>
          </w:p>
        </w:tc>
        <w:tc>
          <w:tcPr>
            <w:tcW w:w="1200" w:type="dxa"/>
            <w:shd w:fill="F4F7F4" w:val="clear"/>
            <w:vAlign w:val="center"/>
          </w:tcPr>
          <w:p>
            <w:pPr>
              <w:spacing w:before="20" w:after="20" w:line="252" w:lineRule="auto"/>
            </w:pPr>
            <w:r/>
            <w:r>
              <w:rPr>
                <w:rFonts w:ascii="Calibri" w:hAnsi="Calibri" w:eastAsia="Calibri"/>
                <w:b w:val="0"/>
                <w:i w:val="0"/>
                <w:color w:val="1A1A1A"/>
                <w:sz w:val="16"/>
              </w:rPr>
            </w:r>
          </w:p>
        </w:tc>
        <w:tc>
          <w:tcPr>
            <w:tcW w:w="213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FFFFF" w:val="clear"/>
            <w:vAlign w:val="center"/>
          </w:tcPr>
          <w:p>
            <w:pPr>
              <w:spacing w:before="20" w:after="20" w:line="252" w:lineRule="auto"/>
            </w:pPr>
            <w:r/>
            <w:r>
              <w:rPr>
                <w:rFonts w:ascii="Calibri" w:hAnsi="Calibri" w:eastAsia="Calibri"/>
                <w:b w:val="0"/>
                <w:i w:val="0"/>
                <w:color w:val="1A1A1A"/>
                <w:sz w:val="16"/>
              </w:rPr>
              <w:t>Clubhouse / Restaurant</w:t>
            </w:r>
          </w:p>
        </w:tc>
        <w:tc>
          <w:tcPr>
            <w:tcW w:w="1750" w:type="dxa"/>
            <w:shd w:fill="FFFFFF" w:val="clear"/>
            <w:vAlign w:val="center"/>
          </w:tcPr>
          <w:p>
            <w:pPr>
              <w:spacing w:before="20" w:after="20" w:line="252" w:lineRule="auto"/>
            </w:pPr>
            <w:r/>
            <w:r>
              <w:rPr>
                <w:rFonts w:ascii="Calibri" w:hAnsi="Calibri" w:eastAsia="Calibri"/>
                <w:b w:val="0"/>
                <w:i w:val="0"/>
                <w:color w:val="1A1A1A"/>
                <w:sz w:val="16"/>
              </w:rPr>
              <w:t>Waiter / bar staff</w:t>
            </w:r>
          </w:p>
        </w:tc>
        <w:tc>
          <w:tcPr>
            <w:tcW w:w="900" w:type="dxa"/>
            <w:shd w:fill="FFFFFF" w:val="clear"/>
            <w:vAlign w:val="center"/>
          </w:tcPr>
          <w:p>
            <w:pPr>
              <w:spacing w:before="20" w:after="20" w:line="252" w:lineRule="auto"/>
            </w:pPr>
            <w:r/>
            <w:r>
              <w:rPr>
                <w:rFonts w:ascii="Calibri" w:hAnsi="Calibri" w:eastAsia="Calibri"/>
                <w:b w:val="0"/>
                <w:i w:val="0"/>
                <w:color w:val="1A1A1A"/>
                <w:sz w:val="16"/>
              </w:rPr>
              <w:t>L4 / L5</w:t>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1550" w:type="dxa"/>
            <w:shd w:fill="FFFFFF" w:val="clear"/>
            <w:vAlign w:val="center"/>
          </w:tcPr>
          <w:p>
            <w:pPr>
              <w:spacing w:before="20" w:after="20" w:line="252" w:lineRule="auto"/>
            </w:pPr>
            <w:r/>
            <w:r>
              <w:rPr>
                <w:rFonts w:ascii="Calibri" w:hAnsi="Calibri" w:eastAsia="Calibri"/>
                <w:b w:val="0"/>
                <w:i w:val="0"/>
                <w:color w:val="1A1A1A"/>
                <w:sz w:val="16"/>
              </w:rPr>
            </w:r>
          </w:p>
        </w:tc>
        <w:tc>
          <w:tcPr>
            <w:tcW w:w="1200" w:type="dxa"/>
            <w:shd w:fill="FFFFFF" w:val="clear"/>
            <w:vAlign w:val="center"/>
          </w:tcPr>
          <w:p>
            <w:pPr>
              <w:spacing w:before="20" w:after="20" w:line="252" w:lineRule="auto"/>
            </w:pPr>
            <w:r/>
            <w:r>
              <w:rPr>
                <w:rFonts w:ascii="Calibri" w:hAnsi="Calibri" w:eastAsia="Calibri"/>
                <w:b w:val="0"/>
                <w:i w:val="0"/>
                <w:color w:val="1A1A1A"/>
                <w:sz w:val="16"/>
              </w:rPr>
            </w:r>
          </w:p>
        </w:tc>
        <w:tc>
          <w:tcPr>
            <w:tcW w:w="213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4F7F4" w:val="clear"/>
            <w:vAlign w:val="center"/>
          </w:tcPr>
          <w:p>
            <w:pPr>
              <w:spacing w:before="20" w:after="20" w:line="252" w:lineRule="auto"/>
            </w:pPr>
            <w:r/>
            <w:r>
              <w:rPr>
                <w:rFonts w:ascii="Calibri" w:hAnsi="Calibri" w:eastAsia="Calibri"/>
                <w:b w:val="0"/>
                <w:i w:val="0"/>
                <w:color w:val="1A1A1A"/>
                <w:sz w:val="16"/>
              </w:rPr>
            </w:r>
          </w:p>
        </w:tc>
        <w:tc>
          <w:tcPr>
            <w:tcW w:w="1750" w:type="dxa"/>
            <w:shd w:fill="F4F7F4" w:val="clear"/>
            <w:vAlign w:val="center"/>
          </w:tcPr>
          <w:p>
            <w:pPr>
              <w:spacing w:before="20" w:after="20" w:line="252" w:lineRule="auto"/>
            </w:pPr>
            <w:r/>
            <w:r>
              <w:rPr>
                <w:rFonts w:ascii="Calibri" w:hAnsi="Calibri" w:eastAsia="Calibri"/>
                <w:b w:val="0"/>
                <w:i w:val="0"/>
                <w:color w:val="1A1A1A"/>
                <w:sz w:val="16"/>
              </w:rPr>
              <w:t>Other</w:t>
            </w:r>
          </w:p>
        </w:tc>
        <w:tc>
          <w:tcPr>
            <w:tcW w:w="90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1550" w:type="dxa"/>
            <w:shd w:fill="F4F7F4" w:val="clear"/>
            <w:vAlign w:val="center"/>
          </w:tcPr>
          <w:p>
            <w:pPr>
              <w:spacing w:before="20" w:after="20" w:line="252" w:lineRule="auto"/>
            </w:pPr>
            <w:r/>
            <w:r>
              <w:rPr>
                <w:rFonts w:ascii="Calibri" w:hAnsi="Calibri" w:eastAsia="Calibri"/>
                <w:b w:val="0"/>
                <w:i w:val="0"/>
                <w:color w:val="1A1A1A"/>
                <w:sz w:val="16"/>
              </w:rPr>
            </w:r>
          </w:p>
        </w:tc>
        <w:tc>
          <w:tcPr>
            <w:tcW w:w="1200" w:type="dxa"/>
            <w:shd w:fill="F4F7F4" w:val="clear"/>
            <w:vAlign w:val="center"/>
          </w:tcPr>
          <w:p>
            <w:pPr>
              <w:spacing w:before="20" w:after="20" w:line="252" w:lineRule="auto"/>
            </w:pPr>
            <w:r/>
            <w:r>
              <w:rPr>
                <w:rFonts w:ascii="Calibri" w:hAnsi="Calibri" w:eastAsia="Calibri"/>
                <w:b w:val="0"/>
                <w:i w:val="0"/>
                <w:color w:val="1A1A1A"/>
                <w:sz w:val="16"/>
              </w:rPr>
            </w:r>
          </w:p>
        </w:tc>
        <w:tc>
          <w:tcPr>
            <w:tcW w:w="213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FFFFF" w:val="clear"/>
            <w:vAlign w:val="center"/>
          </w:tcPr>
          <w:p>
            <w:pPr>
              <w:spacing w:before="20" w:after="20" w:line="252" w:lineRule="auto"/>
            </w:pPr>
            <w:r/>
            <w:r>
              <w:rPr>
                <w:rFonts w:ascii="Calibri" w:hAnsi="Calibri" w:eastAsia="Calibri"/>
                <w:b w:val="0"/>
                <w:i w:val="0"/>
                <w:color w:val="1A1A1A"/>
                <w:sz w:val="16"/>
              </w:rPr>
            </w:r>
          </w:p>
        </w:tc>
        <w:tc>
          <w:tcPr>
            <w:tcW w:w="1750" w:type="dxa"/>
            <w:shd w:fill="FFFFFF" w:val="clear"/>
            <w:vAlign w:val="center"/>
          </w:tcPr>
          <w:p>
            <w:pPr>
              <w:spacing w:before="20" w:after="20" w:line="252" w:lineRule="auto"/>
            </w:pPr>
            <w:r/>
            <w:r>
              <w:rPr>
                <w:rFonts w:ascii="Calibri" w:hAnsi="Calibri" w:eastAsia="Calibri"/>
                <w:b w:val="0"/>
                <w:i w:val="0"/>
                <w:color w:val="1A1A1A"/>
                <w:sz w:val="16"/>
              </w:rPr>
              <w:t>Other</w:t>
            </w:r>
          </w:p>
        </w:tc>
        <w:tc>
          <w:tcPr>
            <w:tcW w:w="900" w:type="dxa"/>
            <w:shd w:fill="FFFFFF" w:val="clear"/>
            <w:vAlign w:val="center"/>
          </w:tcPr>
          <w:p>
            <w:pPr>
              <w:spacing w:before="20" w:after="20" w:line="252" w:lineRule="auto"/>
            </w:pPr>
            <w:r/>
            <w:r>
              <w:rPr>
                <w:rFonts w:ascii="Calibri" w:hAnsi="Calibri" w:eastAsia="Calibri"/>
                <w:b w:val="0"/>
                <w:i w:val="0"/>
                <w:color w:val="1A1A1A"/>
                <w:sz w:val="16"/>
              </w:rPr>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550" w:type="dxa"/>
            <w:shd w:fill="FFFFFF" w:val="clear"/>
            <w:vAlign w:val="center"/>
          </w:tcPr>
          <w:p>
            <w:pPr>
              <w:spacing w:before="20" w:after="20" w:line="252" w:lineRule="auto"/>
            </w:pPr>
            <w:r/>
            <w:r>
              <w:rPr>
                <w:rFonts w:ascii="Calibri" w:hAnsi="Calibri" w:eastAsia="Calibri"/>
                <w:b w:val="0"/>
                <w:i w:val="0"/>
                <w:color w:val="1A1A1A"/>
                <w:sz w:val="16"/>
              </w:rPr>
            </w:r>
          </w:p>
        </w:tc>
        <w:tc>
          <w:tcPr>
            <w:tcW w:w="1550" w:type="dxa"/>
            <w:shd w:fill="FFFFFF" w:val="clear"/>
            <w:vAlign w:val="center"/>
          </w:tcPr>
          <w:p>
            <w:pPr>
              <w:spacing w:before="20" w:after="20" w:line="252" w:lineRule="auto"/>
            </w:pPr>
            <w:r/>
            <w:r>
              <w:rPr>
                <w:rFonts w:ascii="Calibri" w:hAnsi="Calibri" w:eastAsia="Calibri"/>
                <w:b w:val="0"/>
                <w:i w:val="0"/>
                <w:color w:val="1A1A1A"/>
                <w:sz w:val="16"/>
              </w:rPr>
            </w:r>
          </w:p>
        </w:tc>
        <w:tc>
          <w:tcPr>
            <w:tcW w:w="1200" w:type="dxa"/>
            <w:shd w:fill="FFFFFF" w:val="clear"/>
            <w:vAlign w:val="center"/>
          </w:tcPr>
          <w:p>
            <w:pPr>
              <w:spacing w:before="20" w:after="20" w:line="252" w:lineRule="auto"/>
            </w:pPr>
            <w:r/>
            <w:r>
              <w:rPr>
                <w:rFonts w:ascii="Calibri" w:hAnsi="Calibri" w:eastAsia="Calibri"/>
                <w:b w:val="0"/>
                <w:i w:val="0"/>
                <w:color w:val="1A1A1A"/>
                <w:sz w:val="16"/>
              </w:rPr>
            </w:r>
          </w:p>
        </w:tc>
        <w:tc>
          <w:tcPr>
            <w:tcW w:w="213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450" w:type="dxa"/>
            <w:shd w:fill="F4F7F4" w:val="clear"/>
            <w:vAlign w:val="center"/>
          </w:tcPr>
          <w:p>
            <w:pPr>
              <w:spacing w:before="20" w:after="20" w:line="252" w:lineRule="auto"/>
            </w:pPr>
            <w:r/>
            <w:r>
              <w:rPr>
                <w:rFonts w:ascii="Calibri" w:hAnsi="Calibri" w:eastAsia="Calibri"/>
                <w:b w:val="0"/>
                <w:i w:val="0"/>
                <w:color w:val="1A1A1A"/>
                <w:sz w:val="16"/>
              </w:rPr>
            </w:r>
          </w:p>
        </w:tc>
        <w:tc>
          <w:tcPr>
            <w:tcW w:w="1750" w:type="dxa"/>
            <w:shd w:fill="F4F7F4" w:val="clear"/>
            <w:vAlign w:val="center"/>
          </w:tcPr>
          <w:p>
            <w:pPr>
              <w:spacing w:before="20" w:after="20" w:line="252" w:lineRule="auto"/>
            </w:pPr>
            <w:r/>
            <w:r>
              <w:rPr>
                <w:rFonts w:ascii="Calibri" w:hAnsi="Calibri" w:eastAsia="Calibri"/>
                <w:b w:val="0"/>
                <w:i w:val="0"/>
                <w:color w:val="1A1A1A"/>
                <w:sz w:val="16"/>
              </w:rPr>
              <w:t>Other</w:t>
            </w:r>
          </w:p>
        </w:tc>
        <w:tc>
          <w:tcPr>
            <w:tcW w:w="90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550" w:type="dxa"/>
            <w:shd w:fill="F4F7F4" w:val="clear"/>
            <w:vAlign w:val="center"/>
          </w:tcPr>
          <w:p>
            <w:pPr>
              <w:spacing w:before="20" w:after="20" w:line="252" w:lineRule="auto"/>
            </w:pPr>
            <w:r/>
            <w:r>
              <w:rPr>
                <w:rFonts w:ascii="Calibri" w:hAnsi="Calibri" w:eastAsia="Calibri"/>
                <w:b w:val="0"/>
                <w:i w:val="0"/>
                <w:color w:val="1A1A1A"/>
                <w:sz w:val="16"/>
              </w:rPr>
            </w:r>
          </w:p>
        </w:tc>
        <w:tc>
          <w:tcPr>
            <w:tcW w:w="1550" w:type="dxa"/>
            <w:shd w:fill="F4F7F4" w:val="clear"/>
            <w:vAlign w:val="center"/>
          </w:tcPr>
          <w:p>
            <w:pPr>
              <w:spacing w:before="20" w:after="20" w:line="252" w:lineRule="auto"/>
            </w:pPr>
            <w:r/>
            <w:r>
              <w:rPr>
                <w:rFonts w:ascii="Calibri" w:hAnsi="Calibri" w:eastAsia="Calibri"/>
                <w:b w:val="0"/>
                <w:i w:val="0"/>
                <w:color w:val="1A1A1A"/>
                <w:sz w:val="16"/>
              </w:rPr>
            </w:r>
          </w:p>
        </w:tc>
        <w:tc>
          <w:tcPr>
            <w:tcW w:w="1200" w:type="dxa"/>
            <w:shd w:fill="F4F7F4" w:val="clear"/>
            <w:vAlign w:val="center"/>
          </w:tcPr>
          <w:p>
            <w:pPr>
              <w:spacing w:before="20" w:after="20" w:line="252" w:lineRule="auto"/>
            </w:pPr>
            <w:r/>
            <w:r>
              <w:rPr>
                <w:rFonts w:ascii="Calibri" w:hAnsi="Calibri" w:eastAsia="Calibri"/>
                <w:b w:val="0"/>
                <w:i w:val="0"/>
                <w:color w:val="1A1A1A"/>
                <w:sz w:val="16"/>
              </w:rPr>
            </w:r>
          </w:p>
        </w:tc>
        <w:tc>
          <w:tcPr>
            <w:tcW w:w="2130" w:type="dxa"/>
            <w:shd w:fill="F4F7F4" w:val="clear"/>
            <w:vAlign w:val="center"/>
          </w:tcPr>
          <w:p>
            <w:pPr>
              <w:spacing w:before="20" w:after="20" w:line="252" w:lineRule="auto"/>
            </w:pPr>
            <w:r/>
            <w:r>
              <w:rPr>
                <w:rFonts w:ascii="Calibri" w:hAnsi="Calibri" w:eastAsia="Calibri"/>
                <w:b w:val="0"/>
                <w:i w:val="0"/>
                <w:color w:val="1A1A1A"/>
                <w:sz w:val="16"/>
              </w:rPr>
            </w:r>
          </w:p>
        </w:tc>
      </w:tr>
    </w:tbl>
    <w:p>
      <w:pPr>
        <w:pStyle w:val="Heading2"/>
        <w:spacing w:before="200" w:after="80"/>
      </w:pPr>
      <w:r>
        <w:rPr>
          <w:rFonts w:ascii="Calibri" w:hAnsi="Calibri" w:eastAsia="Calibri"/>
          <w:color w:val="1F3D32"/>
        </w:rPr>
        <w:t>1.6 Employment cost today</w:t>
      </w:r>
    </w:p>
    <w:p>
      <w:pPr>
        <w:spacing w:before="120" w:after="120" w:line="269" w:lineRule="auto"/>
      </w:pPr>
      <w:r>
        <w:rPr>
          <w:rFonts w:ascii="Calibri" w:hAnsi="Calibri" w:eastAsia="Calibri"/>
          <w:b w:val="0"/>
          <w:i w:val="0"/>
          <w:color w:val="1A1A1A"/>
          <w:sz w:val="22"/>
        </w:rPr>
        <w:t>For early planning only, a 30% allowance above gross salary can illustrate employer cost. Replace it with the payroll provider’s actual figures before any decision. Employer cost depends on contribution bases, contract type, insurance, overtime, benefits and other items. The proposed-budget column belongs in Part 4, once this actual column is filled.</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5200"/>
        <w:gridCol w:w="2000"/>
        <w:gridCol w:w="2880"/>
      </w:tblGrid>
      <w:tr>
        <w:trPr>
          <w:tblHeader/>
          <w:cantSplit/>
        </w:trPr>
        <w:tc>
          <w:tcPr>
            <w:tcW w:w="5200" w:type="dxa"/>
            <w:shd w:fill="1B4D3E" w:val="clear"/>
            <w:vAlign w:val="center"/>
          </w:tcPr>
          <w:p>
            <w:pPr>
              <w:spacing w:before="20" w:after="20" w:line="252" w:lineRule="auto"/>
            </w:pPr>
            <w:r/>
            <w:r>
              <w:rPr>
                <w:rFonts w:ascii="Calibri" w:hAnsi="Calibri" w:eastAsia="Calibri"/>
                <w:b/>
                <w:i w:val="0"/>
                <w:color w:val="FFFFFF"/>
                <w:sz w:val="18"/>
              </w:rPr>
              <w:t>Measure</w:t>
            </w:r>
          </w:p>
        </w:tc>
        <w:tc>
          <w:tcPr>
            <w:tcW w:w="2000" w:type="dxa"/>
            <w:shd w:fill="1B4D3E" w:val="clear"/>
            <w:vAlign w:val="center"/>
          </w:tcPr>
          <w:p>
            <w:pPr>
              <w:spacing w:before="20" w:after="20" w:line="252" w:lineRule="auto"/>
            </w:pPr>
            <w:r/>
            <w:r>
              <w:rPr>
                <w:rFonts w:ascii="Calibri" w:hAnsi="Calibri" w:eastAsia="Calibri"/>
                <w:b/>
                <w:i w:val="0"/>
                <w:color w:val="FFFFFF"/>
                <w:sz w:val="18"/>
              </w:rPr>
              <w:t>Current actual (€)</w:t>
            </w:r>
          </w:p>
        </w:tc>
        <w:tc>
          <w:tcPr>
            <w:tcW w:w="2880" w:type="dxa"/>
            <w:shd w:fill="1B4D3E" w:val="clear"/>
            <w:vAlign w:val="center"/>
          </w:tcPr>
          <w:p>
            <w:pPr>
              <w:spacing w:before="20" w:after="20" w:line="252" w:lineRule="auto"/>
            </w:pPr>
            <w:r/>
            <w:r>
              <w:rPr>
                <w:rFonts w:ascii="Calibri" w:hAnsi="Calibri" w:eastAsia="Calibri"/>
                <w:b/>
                <w:i w:val="0"/>
                <w:color w:val="FFFFFF"/>
                <w:sz w:val="18"/>
              </w:rPr>
              <w:t>Notes</w:t>
            </w:r>
          </w:p>
        </w:tc>
      </w:tr>
      <w:tr>
        <w:trPr>
          <w:cantSplit/>
        </w:trPr>
        <w:tc>
          <w:tcPr>
            <w:tcW w:w="5200" w:type="dxa"/>
            <w:shd w:fill="FFFFFF" w:val="clear"/>
            <w:vAlign w:val="center"/>
          </w:tcPr>
          <w:p>
            <w:pPr>
              <w:spacing w:before="20" w:after="20" w:line="252" w:lineRule="auto"/>
            </w:pPr>
            <w:r/>
            <w:r>
              <w:rPr>
                <w:rFonts w:ascii="Calibri" w:hAnsi="Calibri" w:eastAsia="Calibri"/>
                <w:b w:val="0"/>
                <w:i w:val="0"/>
                <w:color w:val="1A1A1A"/>
                <w:sz w:val="18"/>
              </w:rPr>
              <w:t>Gross management payroll</w:t>
            </w:r>
          </w:p>
        </w:tc>
        <w:tc>
          <w:tcPr>
            <w:tcW w:w="2000" w:type="dxa"/>
            <w:shd w:fill="FFFFFF" w:val="clear"/>
            <w:vAlign w:val="center"/>
          </w:tcPr>
          <w:p>
            <w:pPr>
              <w:spacing w:before="20" w:after="20" w:line="252" w:lineRule="auto"/>
            </w:pPr>
            <w:r/>
            <w:r>
              <w:rPr>
                <w:rFonts w:ascii="Calibri" w:hAnsi="Calibri" w:eastAsia="Calibri"/>
                <w:b w:val="0"/>
                <w:i w:val="0"/>
                <w:color w:val="1A1A1A"/>
                <w:sz w:val="18"/>
              </w:rPr>
            </w:r>
          </w:p>
        </w:tc>
        <w:tc>
          <w:tcPr>
            <w:tcW w:w="2880" w:type="dxa"/>
            <w:shd w:fill="FFFFFF"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4F7F4" w:val="clear"/>
            <w:vAlign w:val="center"/>
          </w:tcPr>
          <w:p>
            <w:pPr>
              <w:spacing w:before="20" w:after="20" w:line="252" w:lineRule="auto"/>
            </w:pPr>
            <w:r/>
            <w:r>
              <w:rPr>
                <w:rFonts w:ascii="Calibri" w:hAnsi="Calibri" w:eastAsia="Calibri"/>
                <w:b w:val="0"/>
                <w:i w:val="0"/>
                <w:color w:val="1A1A1A"/>
                <w:sz w:val="18"/>
              </w:rPr>
              <w:t>Gross course payroll</w:t>
            </w:r>
          </w:p>
        </w:tc>
        <w:tc>
          <w:tcPr>
            <w:tcW w:w="2000" w:type="dxa"/>
            <w:shd w:fill="F4F7F4" w:val="clear"/>
            <w:vAlign w:val="center"/>
          </w:tcPr>
          <w:p>
            <w:pPr>
              <w:spacing w:before="20" w:after="20" w:line="252" w:lineRule="auto"/>
            </w:pPr>
            <w:r/>
            <w:r>
              <w:rPr>
                <w:rFonts w:ascii="Calibri" w:hAnsi="Calibri" w:eastAsia="Calibri"/>
                <w:b w:val="0"/>
                <w:i w:val="0"/>
                <w:color w:val="1A1A1A"/>
                <w:sz w:val="18"/>
              </w:rPr>
            </w:r>
          </w:p>
        </w:tc>
        <w:tc>
          <w:tcPr>
            <w:tcW w:w="2880" w:type="dxa"/>
            <w:shd w:fill="F4F7F4"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FFFFF" w:val="clear"/>
            <w:vAlign w:val="center"/>
          </w:tcPr>
          <w:p>
            <w:pPr>
              <w:spacing w:before="20" w:after="20" w:line="252" w:lineRule="auto"/>
            </w:pPr>
            <w:r/>
            <w:r>
              <w:rPr>
                <w:rFonts w:ascii="Calibri" w:hAnsi="Calibri" w:eastAsia="Calibri"/>
                <w:b w:val="0"/>
                <w:i w:val="0"/>
                <w:color w:val="1A1A1A"/>
                <w:sz w:val="18"/>
              </w:rPr>
              <w:t>Gross golf operations payroll</w:t>
            </w:r>
          </w:p>
        </w:tc>
        <w:tc>
          <w:tcPr>
            <w:tcW w:w="2000" w:type="dxa"/>
            <w:shd w:fill="FFFFFF" w:val="clear"/>
            <w:vAlign w:val="center"/>
          </w:tcPr>
          <w:p>
            <w:pPr>
              <w:spacing w:before="20" w:after="20" w:line="252" w:lineRule="auto"/>
            </w:pPr>
            <w:r/>
            <w:r>
              <w:rPr>
                <w:rFonts w:ascii="Calibri" w:hAnsi="Calibri" w:eastAsia="Calibri"/>
                <w:b w:val="0"/>
                <w:i w:val="0"/>
                <w:color w:val="1A1A1A"/>
                <w:sz w:val="18"/>
              </w:rPr>
            </w:r>
          </w:p>
        </w:tc>
        <w:tc>
          <w:tcPr>
            <w:tcW w:w="2880" w:type="dxa"/>
            <w:shd w:fill="FFFFFF"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4F7F4" w:val="clear"/>
            <w:vAlign w:val="center"/>
          </w:tcPr>
          <w:p>
            <w:pPr>
              <w:spacing w:before="20" w:after="20" w:line="252" w:lineRule="auto"/>
            </w:pPr>
            <w:r/>
            <w:r>
              <w:rPr>
                <w:rFonts w:ascii="Calibri" w:hAnsi="Calibri" w:eastAsia="Calibri"/>
                <w:b w:val="0"/>
                <w:i w:val="0"/>
                <w:color w:val="1A1A1A"/>
                <w:sz w:val="18"/>
              </w:rPr>
              <w:t>Gross finance / admin payroll</w:t>
            </w:r>
          </w:p>
        </w:tc>
        <w:tc>
          <w:tcPr>
            <w:tcW w:w="2000" w:type="dxa"/>
            <w:shd w:fill="F4F7F4" w:val="clear"/>
            <w:vAlign w:val="center"/>
          </w:tcPr>
          <w:p>
            <w:pPr>
              <w:spacing w:before="20" w:after="20" w:line="252" w:lineRule="auto"/>
            </w:pPr>
            <w:r/>
            <w:r>
              <w:rPr>
                <w:rFonts w:ascii="Calibri" w:hAnsi="Calibri" w:eastAsia="Calibri"/>
                <w:b w:val="0"/>
                <w:i w:val="0"/>
                <w:color w:val="1A1A1A"/>
                <w:sz w:val="18"/>
              </w:rPr>
            </w:r>
          </w:p>
        </w:tc>
        <w:tc>
          <w:tcPr>
            <w:tcW w:w="2880" w:type="dxa"/>
            <w:shd w:fill="F4F7F4"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FFFFF" w:val="clear"/>
            <w:vAlign w:val="center"/>
          </w:tcPr>
          <w:p>
            <w:pPr>
              <w:spacing w:before="20" w:after="20" w:line="252" w:lineRule="auto"/>
            </w:pPr>
            <w:r/>
            <w:r>
              <w:rPr>
                <w:rFonts w:ascii="Calibri" w:hAnsi="Calibri" w:eastAsia="Calibri"/>
                <w:b w:val="0"/>
                <w:i w:val="0"/>
                <w:color w:val="1A1A1A"/>
                <w:sz w:val="18"/>
              </w:rPr>
              <w:t>Gross clubhouse / restaurant payroll</w:t>
            </w:r>
          </w:p>
        </w:tc>
        <w:tc>
          <w:tcPr>
            <w:tcW w:w="2000" w:type="dxa"/>
            <w:shd w:fill="FFFFFF" w:val="clear"/>
            <w:vAlign w:val="center"/>
          </w:tcPr>
          <w:p>
            <w:pPr>
              <w:spacing w:before="20" w:after="20" w:line="252" w:lineRule="auto"/>
            </w:pPr>
            <w:r/>
            <w:r>
              <w:rPr>
                <w:rFonts w:ascii="Calibri" w:hAnsi="Calibri" w:eastAsia="Calibri"/>
                <w:b w:val="0"/>
                <w:i w:val="0"/>
                <w:color w:val="1A1A1A"/>
                <w:sz w:val="18"/>
              </w:rPr>
            </w:r>
          </w:p>
        </w:tc>
        <w:tc>
          <w:tcPr>
            <w:tcW w:w="2880" w:type="dxa"/>
            <w:shd w:fill="FFFFFF"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4F7F4" w:val="clear"/>
            <w:vAlign w:val="center"/>
          </w:tcPr>
          <w:p>
            <w:pPr>
              <w:spacing w:before="20" w:after="20" w:line="252" w:lineRule="auto"/>
            </w:pPr>
            <w:r/>
            <w:r>
              <w:rPr>
                <w:rFonts w:ascii="Calibri" w:hAnsi="Calibri" w:eastAsia="Calibri"/>
                <w:b w:val="0"/>
                <w:i w:val="0"/>
                <w:color w:val="1A1A1A"/>
                <w:sz w:val="18"/>
              </w:rPr>
              <w:t>Overtime, bonuses and variable pay</w:t>
            </w:r>
          </w:p>
        </w:tc>
        <w:tc>
          <w:tcPr>
            <w:tcW w:w="2000" w:type="dxa"/>
            <w:shd w:fill="F4F7F4" w:val="clear"/>
            <w:vAlign w:val="center"/>
          </w:tcPr>
          <w:p>
            <w:pPr>
              <w:spacing w:before="20" w:after="20" w:line="252" w:lineRule="auto"/>
            </w:pPr>
            <w:r/>
            <w:r>
              <w:rPr>
                <w:rFonts w:ascii="Calibri" w:hAnsi="Calibri" w:eastAsia="Calibri"/>
                <w:b w:val="0"/>
                <w:i w:val="0"/>
                <w:color w:val="1A1A1A"/>
                <w:sz w:val="18"/>
              </w:rPr>
            </w:r>
          </w:p>
        </w:tc>
        <w:tc>
          <w:tcPr>
            <w:tcW w:w="2880" w:type="dxa"/>
            <w:shd w:fill="F4F7F4"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FFFFF" w:val="clear"/>
            <w:vAlign w:val="center"/>
          </w:tcPr>
          <w:p>
            <w:pPr>
              <w:spacing w:before="20" w:after="20" w:line="252" w:lineRule="auto"/>
            </w:pPr>
            <w:r/>
            <w:r>
              <w:rPr>
                <w:rFonts w:ascii="Calibri" w:hAnsi="Calibri" w:eastAsia="Calibri"/>
                <w:b w:val="0"/>
                <w:i w:val="0"/>
                <w:color w:val="1A1A1A"/>
                <w:sz w:val="18"/>
              </w:rPr>
              <w:t>Employer social security and other employment costs</w:t>
            </w:r>
          </w:p>
        </w:tc>
        <w:tc>
          <w:tcPr>
            <w:tcW w:w="2000" w:type="dxa"/>
            <w:shd w:fill="FFFFFF" w:val="clear"/>
            <w:vAlign w:val="center"/>
          </w:tcPr>
          <w:p>
            <w:pPr>
              <w:spacing w:before="20" w:after="20" w:line="252" w:lineRule="auto"/>
            </w:pPr>
            <w:r/>
            <w:r>
              <w:rPr>
                <w:rFonts w:ascii="Calibri" w:hAnsi="Calibri" w:eastAsia="Calibri"/>
                <w:b w:val="0"/>
                <w:i w:val="0"/>
                <w:color w:val="1A1A1A"/>
                <w:sz w:val="18"/>
              </w:rPr>
            </w:r>
          </w:p>
        </w:tc>
        <w:tc>
          <w:tcPr>
            <w:tcW w:w="2880" w:type="dxa"/>
            <w:shd w:fill="FFFFFF"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4F7F4" w:val="clear"/>
            <w:vAlign w:val="center"/>
          </w:tcPr>
          <w:p>
            <w:pPr>
              <w:spacing w:before="20" w:after="20" w:line="252" w:lineRule="auto"/>
            </w:pPr>
            <w:r/>
            <w:r>
              <w:rPr>
                <w:rFonts w:ascii="Calibri" w:hAnsi="Calibri" w:eastAsia="Calibri"/>
                <w:b w:val="0"/>
                <w:i w:val="0"/>
                <w:color w:val="1A1A1A"/>
                <w:sz w:val="18"/>
              </w:rPr>
              <w:t>Temporary staff / outsourced labour</w:t>
            </w:r>
          </w:p>
        </w:tc>
        <w:tc>
          <w:tcPr>
            <w:tcW w:w="2000" w:type="dxa"/>
            <w:shd w:fill="F4F7F4" w:val="clear"/>
            <w:vAlign w:val="center"/>
          </w:tcPr>
          <w:p>
            <w:pPr>
              <w:spacing w:before="20" w:after="20" w:line="252" w:lineRule="auto"/>
            </w:pPr>
            <w:r/>
            <w:r>
              <w:rPr>
                <w:rFonts w:ascii="Calibri" w:hAnsi="Calibri" w:eastAsia="Calibri"/>
                <w:b w:val="0"/>
                <w:i w:val="0"/>
                <w:color w:val="1A1A1A"/>
                <w:sz w:val="18"/>
              </w:rPr>
            </w:r>
          </w:p>
        </w:tc>
        <w:tc>
          <w:tcPr>
            <w:tcW w:w="2880" w:type="dxa"/>
            <w:shd w:fill="F4F7F4"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FFFFF" w:val="clear"/>
            <w:vAlign w:val="center"/>
          </w:tcPr>
          <w:p>
            <w:pPr>
              <w:spacing w:before="20" w:after="20" w:line="252" w:lineRule="auto"/>
            </w:pPr>
            <w:r/>
            <w:r>
              <w:rPr>
                <w:rFonts w:ascii="Calibri" w:hAnsi="Calibri" w:eastAsia="Calibri"/>
                <w:b w:val="0"/>
                <w:i w:val="0"/>
                <w:color w:val="1A1A1A"/>
                <w:sz w:val="18"/>
              </w:rPr>
              <w:t>Total employment cost</w:t>
            </w:r>
          </w:p>
        </w:tc>
        <w:tc>
          <w:tcPr>
            <w:tcW w:w="2000" w:type="dxa"/>
            <w:shd w:fill="FFFFFF" w:val="clear"/>
            <w:vAlign w:val="center"/>
          </w:tcPr>
          <w:p>
            <w:pPr>
              <w:spacing w:before="20" w:after="20" w:line="252" w:lineRule="auto"/>
            </w:pPr>
            <w:r/>
            <w:r>
              <w:rPr>
                <w:rFonts w:ascii="Calibri" w:hAnsi="Calibri" w:eastAsia="Calibri"/>
                <w:b w:val="0"/>
                <w:i w:val="0"/>
                <w:color w:val="1A1A1A"/>
                <w:sz w:val="18"/>
              </w:rPr>
            </w:r>
          </w:p>
        </w:tc>
        <w:tc>
          <w:tcPr>
            <w:tcW w:w="2880" w:type="dxa"/>
            <w:shd w:fill="FFFFFF" w:val="clear"/>
            <w:vAlign w:val="center"/>
          </w:tcPr>
          <w:p>
            <w:pPr>
              <w:spacing w:before="20" w:after="20" w:line="252" w:lineRule="auto"/>
            </w:pPr>
            <w:r/>
            <w:r>
              <w:rPr>
                <w:rFonts w:ascii="Calibri" w:hAnsi="Calibri" w:eastAsia="Calibri"/>
                <w:b w:val="0"/>
                <w:i w:val="0"/>
                <w:color w:val="1A1A1A"/>
                <w:sz w:val="18"/>
              </w:rPr>
            </w:r>
          </w:p>
        </w:tc>
      </w:tr>
      <w:tr>
        <w:trPr>
          <w:cantSplit/>
        </w:trPr>
        <w:tc>
          <w:tcPr>
            <w:tcW w:w="5200" w:type="dxa"/>
            <w:shd w:fill="F4F7F4" w:val="clear"/>
            <w:vAlign w:val="center"/>
          </w:tcPr>
          <w:p>
            <w:pPr>
              <w:spacing w:before="20" w:after="20" w:line="252" w:lineRule="auto"/>
            </w:pPr>
            <w:r/>
            <w:r>
              <w:rPr>
                <w:rFonts w:ascii="Calibri" w:hAnsi="Calibri" w:eastAsia="Calibri"/>
                <w:b w:val="0"/>
                <w:i w:val="0"/>
                <w:color w:val="1A1A1A"/>
                <w:sz w:val="18"/>
              </w:rPr>
              <w:t>Turnover used in this model</w:t>
            </w:r>
          </w:p>
        </w:tc>
        <w:tc>
          <w:tcPr>
            <w:tcW w:w="2000" w:type="dxa"/>
            <w:shd w:fill="F4F7F4" w:val="clear"/>
            <w:vAlign w:val="center"/>
          </w:tcPr>
          <w:p>
            <w:pPr>
              <w:spacing w:before="20" w:after="20" w:line="252" w:lineRule="auto"/>
            </w:pPr>
            <w:r/>
            <w:r>
              <w:rPr>
                <w:rFonts w:ascii="Calibri" w:hAnsi="Calibri" w:eastAsia="Calibri"/>
                <w:b w:val="0"/>
                <w:i w:val="0"/>
                <w:color w:val="1A1A1A"/>
                <w:sz w:val="18"/>
              </w:rPr>
              <w:t>3,000,000</w:t>
            </w:r>
          </w:p>
        </w:tc>
        <w:tc>
          <w:tcPr>
            <w:tcW w:w="2880" w:type="dxa"/>
            <w:shd w:fill="F4F7F4" w:val="clear"/>
            <w:vAlign w:val="center"/>
          </w:tcPr>
          <w:p>
            <w:pPr>
              <w:spacing w:before="20" w:after="20" w:line="252" w:lineRule="auto"/>
            </w:pPr>
            <w:r/>
            <w:r>
              <w:rPr>
                <w:rFonts w:ascii="Calibri" w:hAnsi="Calibri" w:eastAsia="Calibri"/>
                <w:b w:val="0"/>
                <w:i w:val="0"/>
                <w:color w:val="1A1A1A"/>
                <w:sz w:val="18"/>
              </w:rPr>
              <w:t>Update when the accounts are agreed. See the three turnover figures in section 1.1.</w:t>
            </w:r>
          </w:p>
        </w:tc>
      </w:tr>
      <w:tr>
        <w:trPr>
          <w:cantSplit/>
        </w:trPr>
        <w:tc>
          <w:tcPr>
            <w:tcW w:w="5200" w:type="dxa"/>
            <w:shd w:fill="FFFFFF" w:val="clear"/>
            <w:vAlign w:val="center"/>
          </w:tcPr>
          <w:p>
            <w:pPr>
              <w:spacing w:before="20" w:after="20" w:line="252" w:lineRule="auto"/>
            </w:pPr>
            <w:r/>
            <w:r>
              <w:rPr>
                <w:rFonts w:ascii="Calibri" w:hAnsi="Calibri" w:eastAsia="Calibri"/>
                <w:b w:val="0"/>
                <w:i w:val="0"/>
                <w:color w:val="1A1A1A"/>
                <w:sz w:val="18"/>
              </w:rPr>
              <w:t>Employment cost as % of turnover</w:t>
            </w:r>
          </w:p>
        </w:tc>
        <w:tc>
          <w:tcPr>
            <w:tcW w:w="2000" w:type="dxa"/>
            <w:shd w:fill="FFFFFF" w:val="clear"/>
            <w:vAlign w:val="center"/>
          </w:tcPr>
          <w:p>
            <w:pPr>
              <w:spacing w:before="20" w:after="20" w:line="252" w:lineRule="auto"/>
            </w:pPr>
            <w:r/>
            <w:r>
              <w:rPr>
                <w:rFonts w:ascii="Calibri" w:hAnsi="Calibri" w:eastAsia="Calibri"/>
                <w:b w:val="0"/>
                <w:i w:val="0"/>
                <w:color w:val="1A1A1A"/>
                <w:sz w:val="18"/>
              </w:rPr>
            </w:r>
          </w:p>
        </w:tc>
        <w:tc>
          <w:tcPr>
            <w:tcW w:w="2880" w:type="dxa"/>
            <w:shd w:fill="FFFFFF" w:val="clear"/>
            <w:vAlign w:val="center"/>
          </w:tcPr>
          <w:p>
            <w:pPr>
              <w:spacing w:before="20" w:after="20" w:line="252" w:lineRule="auto"/>
            </w:pPr>
            <w:r/>
            <w:r>
              <w:rPr>
                <w:rFonts w:ascii="Calibri" w:hAnsi="Calibri" w:eastAsia="Calibri"/>
                <w:b w:val="0"/>
                <w:i w:val="0"/>
                <w:color w:val="1A1A1A"/>
                <w:sz w:val="18"/>
              </w:rPr>
              <w:t>Total employment cost ÷ turnover. Report EPGC and EPGCR separately once the split is known.</w:t>
            </w:r>
          </w:p>
        </w:tc>
      </w:tr>
    </w:tbl>
    <w:p>
      <w:pPr>
        <w:pStyle w:val="Heading2"/>
        <w:spacing w:before="200" w:after="80"/>
      </w:pPr>
      <w:r>
        <w:rPr>
          <w:rFonts w:ascii="Calibri" w:hAnsi="Calibri" w:eastAsia="Calibri"/>
          <w:color w:val="1F3D32"/>
        </w:rPr>
        <w:t>1.7 Economic facts already on the file</w:t>
      </w:r>
    </w:p>
    <w:p>
      <w:pPr>
        <w:spacing w:before="120" w:after="120" w:line="269" w:lineRule="auto"/>
      </w:pPr>
      <w:r>
        <w:rPr>
          <w:rFonts w:ascii="Calibri" w:hAnsi="Calibri" w:eastAsia="Calibri"/>
          <w:b w:val="0"/>
          <w:i w:val="0"/>
          <w:color w:val="1A1A1A"/>
          <w:sz w:val="22"/>
        </w:rPr>
        <w:t>These are background facts for planning. They are not a pay award. The 2027 review method that uses them is in Part 4.</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800"/>
        <w:gridCol w:w="4000"/>
        <w:gridCol w:w="3280"/>
      </w:tblGrid>
      <w:tr>
        <w:trPr>
          <w:tblHeader/>
          <w:cantSplit/>
        </w:trPr>
        <w:tc>
          <w:tcPr>
            <w:tcW w:w="2800" w:type="dxa"/>
            <w:shd w:fill="1B4D3E" w:val="clear"/>
            <w:vAlign w:val="center"/>
          </w:tcPr>
          <w:p>
            <w:pPr>
              <w:spacing w:before="20" w:after="20" w:line="252" w:lineRule="auto"/>
            </w:pPr>
            <w:r/>
            <w:r>
              <w:rPr>
                <w:rFonts w:ascii="Calibri" w:hAnsi="Calibri" w:eastAsia="Calibri"/>
                <w:b/>
                <w:i w:val="0"/>
                <w:color w:val="FFFFFF"/>
                <w:sz w:val="18"/>
              </w:rPr>
              <w:t>Item</w:t>
            </w:r>
          </w:p>
        </w:tc>
        <w:tc>
          <w:tcPr>
            <w:tcW w:w="4000" w:type="dxa"/>
            <w:shd w:fill="1B4D3E" w:val="clear"/>
            <w:vAlign w:val="center"/>
          </w:tcPr>
          <w:p>
            <w:pPr>
              <w:spacing w:before="20" w:after="20" w:line="252" w:lineRule="auto"/>
            </w:pPr>
            <w:r/>
            <w:r>
              <w:rPr>
                <w:rFonts w:ascii="Calibri" w:hAnsi="Calibri" w:eastAsia="Calibri"/>
                <w:b/>
                <w:i w:val="0"/>
                <w:color w:val="FFFFFF"/>
                <w:sz w:val="18"/>
              </w:rPr>
              <w:t>Figure</w:t>
            </w:r>
          </w:p>
        </w:tc>
        <w:tc>
          <w:tcPr>
            <w:tcW w:w="3280" w:type="dxa"/>
            <w:shd w:fill="1B4D3E" w:val="clear"/>
            <w:vAlign w:val="center"/>
          </w:tcPr>
          <w:p>
            <w:pPr>
              <w:spacing w:before="20" w:after="20" w:line="252" w:lineRule="auto"/>
            </w:pPr>
            <w:r/>
            <w:r>
              <w:rPr>
                <w:rFonts w:ascii="Calibri" w:hAnsi="Calibri" w:eastAsia="Calibri"/>
                <w:b/>
                <w:i w:val="0"/>
                <w:color w:val="FFFFFF"/>
                <w:sz w:val="18"/>
              </w:rPr>
              <w:t>How to use it</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8"/>
              </w:rPr>
              <w:t>Spain CPI — September 2026</w:t>
            </w:r>
          </w:p>
        </w:tc>
        <w:tc>
          <w:tcPr>
            <w:tcW w:w="4000" w:type="dxa"/>
            <w:shd w:fill="FFFFFF" w:val="clear"/>
            <w:vAlign w:val="center"/>
          </w:tcPr>
          <w:p>
            <w:pPr>
              <w:spacing w:before="20" w:after="20" w:line="252" w:lineRule="auto"/>
            </w:pPr>
            <w:r/>
            <w:r>
              <w:rPr>
                <w:rFonts w:ascii="Calibri" w:hAnsi="Calibri" w:eastAsia="Calibri"/>
                <w:b w:val="0"/>
                <w:i w:val="0"/>
                <w:color w:val="1A1A1A"/>
                <w:sz w:val="18"/>
              </w:rPr>
              <w:t>4.9% annual CPI, INE flash estimate published 29 September 2026.</w:t>
            </w:r>
          </w:p>
        </w:tc>
        <w:tc>
          <w:tcPr>
            <w:tcW w:w="3280" w:type="dxa"/>
            <w:shd w:fill="FFFFFF" w:val="clear"/>
            <w:vAlign w:val="center"/>
          </w:tcPr>
          <w:p>
            <w:pPr>
              <w:spacing w:before="20" w:after="20" w:line="252" w:lineRule="auto"/>
            </w:pPr>
            <w:r/>
            <w:r>
              <w:rPr>
                <w:rFonts w:ascii="Calibri" w:hAnsi="Calibri" w:eastAsia="Calibri"/>
                <w:b w:val="0"/>
                <w:i w:val="0"/>
                <w:color w:val="1A1A1A"/>
                <w:sz w:val="18"/>
              </w:rPr>
              <w:t>Official flash estimate. The final release may revise it.</w:t>
            </w:r>
          </w:p>
        </w:tc>
      </w:tr>
      <w:tr>
        <w:trPr>
          <w:cantSplit/>
        </w:trPr>
        <w:tc>
          <w:tcPr>
            <w:tcW w:w="2800" w:type="dxa"/>
            <w:shd w:fill="F4F7F4" w:val="clear"/>
            <w:vAlign w:val="center"/>
          </w:tcPr>
          <w:p>
            <w:pPr>
              <w:spacing w:before="20" w:after="20" w:line="252" w:lineRule="auto"/>
            </w:pPr>
            <w:r/>
            <w:r>
              <w:rPr>
                <w:rFonts w:ascii="Calibri" w:hAnsi="Calibri" w:eastAsia="Calibri"/>
                <w:b w:val="0"/>
                <w:i w:val="0"/>
                <w:color w:val="1A1A1A"/>
                <w:sz w:val="18"/>
              </w:rPr>
              <w:t>2026 statutory minimum wage</w:t>
            </w:r>
          </w:p>
        </w:tc>
        <w:tc>
          <w:tcPr>
            <w:tcW w:w="4000" w:type="dxa"/>
            <w:shd w:fill="F4F7F4" w:val="clear"/>
            <w:vAlign w:val="center"/>
          </w:tcPr>
          <w:p>
            <w:pPr>
              <w:spacing w:before="20" w:after="20" w:line="252" w:lineRule="auto"/>
            </w:pPr>
            <w:r/>
            <w:r>
              <w:rPr>
                <w:rFonts w:ascii="Calibri" w:hAnsi="Calibri" w:eastAsia="Calibri"/>
                <w:b w:val="0"/>
                <w:i w:val="0"/>
                <w:color w:val="1A1A1A"/>
                <w:sz w:val="18"/>
              </w:rPr>
              <w:t>€1,221 per month; €17,094 per year on 14 payments, full-time.</w:t>
            </w:r>
          </w:p>
        </w:tc>
        <w:tc>
          <w:tcPr>
            <w:tcW w:w="3280" w:type="dxa"/>
            <w:shd w:fill="F4F7F4" w:val="clear"/>
            <w:vAlign w:val="center"/>
          </w:tcPr>
          <w:p>
            <w:pPr>
              <w:spacing w:before="20" w:after="20" w:line="252" w:lineRule="auto"/>
            </w:pPr>
            <w:r/>
            <w:r>
              <w:rPr>
                <w:rFonts w:ascii="Calibri" w:hAnsi="Calibri" w:eastAsia="Calibri"/>
                <w:b w:val="0"/>
                <w:i w:val="0"/>
                <w:color w:val="1A1A1A"/>
                <w:sz w:val="18"/>
              </w:rPr>
              <w:t>Official 2026 SMI. Check the 2027 SMI and the collective agreement before approving pay.</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8"/>
              </w:rPr>
              <w:t>Fuel-price assumption</w:t>
            </w:r>
          </w:p>
        </w:tc>
        <w:tc>
          <w:tcPr>
            <w:tcW w:w="4000" w:type="dxa"/>
            <w:shd w:fill="FFFFFF" w:val="clear"/>
            <w:vAlign w:val="center"/>
          </w:tcPr>
          <w:p>
            <w:pPr>
              <w:spacing w:before="20" w:after="20" w:line="252" w:lineRule="auto"/>
            </w:pPr>
            <w:r/>
            <w:r>
              <w:rPr>
                <w:rFonts w:ascii="Calibri" w:hAnsi="Calibri" w:eastAsia="Calibri"/>
                <w:b w:val="0"/>
                <w:i w:val="0"/>
                <w:color w:val="1A1A1A"/>
                <w:sz w:val="18"/>
              </w:rPr>
              <w:t>Illustration uses a rise from €1.50 to €2.00 a litre.</w:t>
            </w:r>
          </w:p>
        </w:tc>
        <w:tc>
          <w:tcPr>
            <w:tcW w:w="3280" w:type="dxa"/>
            <w:shd w:fill="FFFFFF" w:val="clear"/>
            <w:vAlign w:val="center"/>
          </w:tcPr>
          <w:p>
            <w:pPr>
              <w:spacing w:before="20" w:after="20" w:line="252" w:lineRule="auto"/>
            </w:pPr>
            <w:r/>
            <w:r>
              <w:rPr>
                <w:rFonts w:ascii="Calibri" w:hAnsi="Calibri" w:eastAsia="Calibri"/>
                <w:b w:val="0"/>
                <w:i w:val="0"/>
                <w:color w:val="1A1A1A"/>
                <w:sz w:val="18"/>
              </w:rPr>
              <w:t>Prices supplied for the analysis. Not a verified national series. The worked example is in Part 3.</w:t>
            </w:r>
          </w:p>
        </w:tc>
      </w:tr>
    </w:tbl>
    <w:p>
      <w:pPr>
        <w:pStyle w:val="Heading1"/>
        <w:spacing w:before="280" w:after="80"/>
      </w:pPr>
      <w:r>
        <w:rPr>
          <w:rFonts w:ascii="Calibri" w:hAnsi="Calibri" w:eastAsia="Calibri"/>
          <w:color w:val="1B4D3E"/>
        </w:rPr>
        <w:t>Part 2 — Ideal new structure</w:t>
      </w:r>
    </w:p>
    <w:p>
      <w:pPr>
        <w:spacing w:before="120" w:after="120" w:line="269" w:lineRule="auto"/>
      </w:pPr>
      <w:r>
        <w:rPr>
          <w:rFonts w:ascii="Calibri" w:hAnsi="Calibri" w:eastAsia="Calibri"/>
          <w:b w:val="0"/>
          <w:i w:val="0"/>
          <w:color w:val="1A1A1A"/>
          <w:sz w:val="22"/>
        </w:rPr>
        <w:t>This is the target discussed in the working draft: one accountable structure, five job levels, and indicative pay bands. It is a proposal for discussion. It does not appoint anyone, and it does not change a contract. An extra line, noted in the draft as L1.1 EPGCR MD, is not defined and is left open.</w:t>
      </w:r>
    </w:p>
    <w:p>
      <w:pPr>
        <w:pStyle w:val="Heading2"/>
        <w:spacing w:before="200" w:after="80"/>
      </w:pPr>
      <w:r>
        <w:rPr>
          <w:rFonts w:ascii="Calibri" w:hAnsi="Calibri" w:eastAsia="Calibri"/>
          <w:color w:val="1F3D32"/>
        </w:rPr>
        <w:t>2.1 Organisation</w:t>
      </w:r>
    </w:p>
    <w:p>
      <w:pPr>
        <w:spacing w:before="120" w:after="120" w:line="269" w:lineRule="auto"/>
      </w:pPr>
      <w:r>
        <w:rPr>
          <w:rFonts w:ascii="Calibri" w:hAnsi="Calibri" w:eastAsia="Calibri"/>
          <w:b w:val="0"/>
          <w:i w:val="0"/>
          <w:color w:val="1A1A1A"/>
          <w:sz w:val="22"/>
        </w:rPr>
        <w:t>Recommended starting point: one Managing Director, with five functional managers. Each manager owns the performance, staffing, budget and service standards of their department. The Finance &amp; Administration Manager is also described in the draft as CFO of EPGH.</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900"/>
        <w:gridCol w:w="3200"/>
        <w:gridCol w:w="5980"/>
      </w:tblGrid>
      <w:tr>
        <w:trPr>
          <w:tblHeader/>
          <w:cantSplit/>
        </w:trPr>
        <w:tc>
          <w:tcPr>
            <w:tcW w:w="900" w:type="dxa"/>
            <w:shd w:fill="1B4D3E" w:val="clear"/>
            <w:vAlign w:val="center"/>
          </w:tcPr>
          <w:p>
            <w:pPr>
              <w:spacing w:before="20" w:after="20" w:line="252" w:lineRule="auto"/>
            </w:pPr>
            <w:r/>
            <w:r>
              <w:rPr>
                <w:rFonts w:ascii="Calibri" w:hAnsi="Calibri" w:eastAsia="Calibri"/>
                <w:b/>
                <w:i w:val="0"/>
                <w:color w:val="FFFFFF"/>
                <w:sz w:val="18"/>
              </w:rPr>
              <w:t>Level</w:t>
            </w:r>
          </w:p>
        </w:tc>
        <w:tc>
          <w:tcPr>
            <w:tcW w:w="3200" w:type="dxa"/>
            <w:shd w:fill="1B4D3E" w:val="clear"/>
            <w:vAlign w:val="center"/>
          </w:tcPr>
          <w:p>
            <w:pPr>
              <w:spacing w:before="20" w:after="20" w:line="252" w:lineRule="auto"/>
            </w:pPr>
            <w:r/>
            <w:r>
              <w:rPr>
                <w:rFonts w:ascii="Calibri" w:hAnsi="Calibri" w:eastAsia="Calibri"/>
                <w:b/>
                <w:i w:val="0"/>
                <w:color w:val="FFFFFF"/>
                <w:sz w:val="18"/>
              </w:rPr>
              <w:t>Position</w:t>
            </w:r>
          </w:p>
        </w:tc>
        <w:tc>
          <w:tcPr>
            <w:tcW w:w="5980" w:type="dxa"/>
            <w:shd w:fill="1B4D3E" w:val="clear"/>
            <w:vAlign w:val="center"/>
          </w:tcPr>
          <w:p>
            <w:pPr>
              <w:spacing w:before="20" w:after="20" w:line="252" w:lineRule="auto"/>
            </w:pPr>
            <w:r/>
            <w:r>
              <w:rPr>
                <w:rFonts w:ascii="Calibri" w:hAnsi="Calibri" w:eastAsia="Calibri"/>
                <w:b/>
                <w:i w:val="0"/>
                <w:color w:val="FFFFFF"/>
                <w:sz w:val="18"/>
              </w:rPr>
              <w:t>Core accountability</w:t>
            </w:r>
          </w:p>
        </w:tc>
      </w:tr>
      <w:tr>
        <w:trPr>
          <w:cantSplit/>
        </w:trPr>
        <w:tc>
          <w:tcPr>
            <w:tcW w:w="900" w:type="dxa"/>
            <w:shd w:fill="FFFFFF" w:val="clear"/>
            <w:vAlign w:val="center"/>
          </w:tcPr>
          <w:p>
            <w:pPr>
              <w:spacing w:before="20" w:after="20" w:line="252" w:lineRule="auto"/>
            </w:pPr>
            <w:r/>
            <w:r>
              <w:rPr>
                <w:rFonts w:ascii="Calibri" w:hAnsi="Calibri" w:eastAsia="Calibri"/>
                <w:b w:val="0"/>
                <w:i w:val="0"/>
                <w:color w:val="1A1A1A"/>
                <w:sz w:val="18"/>
              </w:rPr>
              <w:t>L1</w:t>
            </w:r>
          </w:p>
        </w:tc>
        <w:tc>
          <w:tcPr>
            <w:tcW w:w="3200" w:type="dxa"/>
            <w:shd w:fill="FFFFFF" w:val="clear"/>
            <w:vAlign w:val="center"/>
          </w:tcPr>
          <w:p>
            <w:pPr>
              <w:spacing w:before="20" w:after="20" w:line="252" w:lineRule="auto"/>
            </w:pPr>
            <w:r/>
            <w:r>
              <w:rPr>
                <w:rFonts w:ascii="Calibri" w:hAnsi="Calibri" w:eastAsia="Calibri"/>
                <w:b w:val="0"/>
                <w:i w:val="0"/>
                <w:color w:val="1A1A1A"/>
                <w:sz w:val="18"/>
              </w:rPr>
              <w:t>Managing Director / CEO</w:t>
            </w:r>
          </w:p>
        </w:tc>
        <w:tc>
          <w:tcPr>
            <w:tcW w:w="5980" w:type="dxa"/>
            <w:shd w:fill="FFFFFF" w:val="clear"/>
            <w:vAlign w:val="center"/>
          </w:tcPr>
          <w:p>
            <w:pPr>
              <w:spacing w:before="20" w:after="20" w:line="252" w:lineRule="auto"/>
            </w:pPr>
            <w:r/>
            <w:r>
              <w:rPr>
                <w:rFonts w:ascii="Calibri" w:hAnsi="Calibri" w:eastAsia="Calibri"/>
                <w:b w:val="0"/>
                <w:i w:val="0"/>
                <w:color w:val="1A1A1A"/>
                <w:sz w:val="18"/>
              </w:rPr>
              <w:t>Whole-business performance; strategy; Board reporting; annual budget; leadership; risk, compliance and people.</w:t>
            </w:r>
          </w:p>
        </w:tc>
      </w:tr>
      <w:tr>
        <w:trPr>
          <w:cantSplit/>
        </w:trPr>
        <w:tc>
          <w:tcPr>
            <w:tcW w:w="900" w:type="dxa"/>
            <w:shd w:fill="F4F7F4" w:val="clear"/>
            <w:vAlign w:val="center"/>
          </w:tcPr>
          <w:p>
            <w:pPr>
              <w:spacing w:before="20" w:after="20" w:line="252" w:lineRule="auto"/>
            </w:pPr>
            <w:r/>
            <w:r>
              <w:rPr>
                <w:rFonts w:ascii="Calibri" w:hAnsi="Calibri" w:eastAsia="Calibri"/>
                <w:b w:val="0"/>
                <w:i w:val="0"/>
                <w:color w:val="1A1A1A"/>
                <w:sz w:val="18"/>
              </w:rPr>
              <w:t>L2</w:t>
            </w:r>
          </w:p>
        </w:tc>
        <w:tc>
          <w:tcPr>
            <w:tcW w:w="3200" w:type="dxa"/>
            <w:shd w:fill="F4F7F4" w:val="clear"/>
            <w:vAlign w:val="center"/>
          </w:tcPr>
          <w:p>
            <w:pPr>
              <w:spacing w:before="20" w:after="20" w:line="252" w:lineRule="auto"/>
            </w:pPr>
            <w:r/>
            <w:r>
              <w:rPr>
                <w:rFonts w:ascii="Calibri" w:hAnsi="Calibri" w:eastAsia="Calibri"/>
                <w:b w:val="0"/>
                <w:i w:val="0"/>
                <w:color w:val="1A1A1A"/>
                <w:sz w:val="18"/>
              </w:rPr>
              <w:t>Finance &amp; Administration Manager (CFO, EPGH)</w:t>
            </w:r>
          </w:p>
        </w:tc>
        <w:tc>
          <w:tcPr>
            <w:tcW w:w="5980" w:type="dxa"/>
            <w:shd w:fill="F4F7F4" w:val="clear"/>
            <w:vAlign w:val="center"/>
          </w:tcPr>
          <w:p>
            <w:pPr>
              <w:spacing w:before="20" w:after="20" w:line="252" w:lineRule="auto"/>
            </w:pPr>
            <w:r/>
            <w:r>
              <w:rPr>
                <w:rFonts w:ascii="Calibri" w:hAnsi="Calibri" w:eastAsia="Calibri"/>
                <w:b w:val="0"/>
                <w:i w:val="0"/>
                <w:color w:val="1A1A1A"/>
                <w:sz w:val="18"/>
              </w:rPr>
              <w:t>Accounts, management reporting, cash control, payroll coordination, purchasing controls, office administration and systems.</w:t>
            </w:r>
          </w:p>
        </w:tc>
      </w:tr>
      <w:tr>
        <w:trPr>
          <w:cantSplit/>
        </w:trPr>
        <w:tc>
          <w:tcPr>
            <w:tcW w:w="900" w:type="dxa"/>
            <w:shd w:fill="FFFFFF" w:val="clear"/>
            <w:vAlign w:val="center"/>
          </w:tcPr>
          <w:p>
            <w:pPr>
              <w:spacing w:before="20" w:after="20" w:line="252" w:lineRule="auto"/>
            </w:pPr>
            <w:r/>
            <w:r>
              <w:rPr>
                <w:rFonts w:ascii="Calibri" w:hAnsi="Calibri" w:eastAsia="Calibri"/>
                <w:b w:val="0"/>
                <w:i w:val="0"/>
                <w:color w:val="1A1A1A"/>
                <w:sz w:val="18"/>
              </w:rPr>
              <w:t>L2</w:t>
            </w:r>
          </w:p>
        </w:tc>
        <w:tc>
          <w:tcPr>
            <w:tcW w:w="3200" w:type="dxa"/>
            <w:shd w:fill="FFFFFF" w:val="clear"/>
            <w:vAlign w:val="center"/>
          </w:tcPr>
          <w:p>
            <w:pPr>
              <w:spacing w:before="20" w:after="20" w:line="252" w:lineRule="auto"/>
            </w:pPr>
            <w:r/>
            <w:r>
              <w:rPr>
                <w:rFonts w:ascii="Calibri" w:hAnsi="Calibri" w:eastAsia="Calibri"/>
                <w:b w:val="0"/>
                <w:i w:val="0"/>
                <w:color w:val="1A1A1A"/>
                <w:sz w:val="18"/>
              </w:rPr>
              <w:t>Sales &amp; Marketing Manager</w:t>
            </w:r>
          </w:p>
        </w:tc>
        <w:tc>
          <w:tcPr>
            <w:tcW w:w="5980" w:type="dxa"/>
            <w:shd w:fill="FFFFFF" w:val="clear"/>
            <w:vAlign w:val="center"/>
          </w:tcPr>
          <w:p>
            <w:pPr>
              <w:spacing w:before="20" w:after="20" w:line="252" w:lineRule="auto"/>
            </w:pPr>
            <w:r/>
            <w:r>
              <w:rPr>
                <w:rFonts w:ascii="Calibri" w:hAnsi="Calibri" w:eastAsia="Calibri"/>
                <w:b w:val="0"/>
                <w:i w:val="0"/>
                <w:color w:val="1A1A1A"/>
                <w:sz w:val="18"/>
              </w:rPr>
              <w:t>Visitor revenue, pricing and yield, groups and societies, marketing, partnerships, booking demand and the sales pipeline.</w:t>
            </w:r>
          </w:p>
        </w:tc>
      </w:tr>
      <w:tr>
        <w:trPr>
          <w:cantSplit/>
        </w:trPr>
        <w:tc>
          <w:tcPr>
            <w:tcW w:w="900" w:type="dxa"/>
            <w:shd w:fill="F4F7F4" w:val="clear"/>
            <w:vAlign w:val="center"/>
          </w:tcPr>
          <w:p>
            <w:pPr>
              <w:spacing w:before="20" w:after="20" w:line="252" w:lineRule="auto"/>
            </w:pPr>
            <w:r/>
            <w:r>
              <w:rPr>
                <w:rFonts w:ascii="Calibri" w:hAnsi="Calibri" w:eastAsia="Calibri"/>
                <w:b w:val="0"/>
                <w:i w:val="0"/>
                <w:color w:val="1A1A1A"/>
                <w:sz w:val="18"/>
              </w:rPr>
              <w:t>L2</w:t>
            </w:r>
          </w:p>
        </w:tc>
        <w:tc>
          <w:tcPr>
            <w:tcW w:w="3200" w:type="dxa"/>
            <w:shd w:fill="F4F7F4" w:val="clear"/>
            <w:vAlign w:val="center"/>
          </w:tcPr>
          <w:p>
            <w:pPr>
              <w:spacing w:before="20" w:after="20" w:line="252" w:lineRule="auto"/>
            </w:pPr>
            <w:r/>
            <w:r>
              <w:rPr>
                <w:rFonts w:ascii="Calibri" w:hAnsi="Calibri" w:eastAsia="Calibri"/>
                <w:b w:val="0"/>
                <w:i w:val="0"/>
                <w:color w:val="1A1A1A"/>
                <w:sz w:val="18"/>
              </w:rPr>
              <w:t>Golf Operations Manager</w:t>
            </w:r>
          </w:p>
        </w:tc>
        <w:tc>
          <w:tcPr>
            <w:tcW w:w="5980" w:type="dxa"/>
            <w:shd w:fill="F4F7F4" w:val="clear"/>
            <w:vAlign w:val="center"/>
          </w:tcPr>
          <w:p>
            <w:pPr>
              <w:spacing w:before="20" w:after="20" w:line="252" w:lineRule="auto"/>
            </w:pPr>
            <w:r/>
            <w:r>
              <w:rPr>
                <w:rFonts w:ascii="Calibri" w:hAnsi="Calibri" w:eastAsia="Calibri"/>
                <w:b w:val="0"/>
                <w:i w:val="0"/>
                <w:color w:val="1A1A1A"/>
                <w:sz w:val="18"/>
              </w:rPr>
              <w:t>Daily golf operation, tee sheet, player check-in, pace of play, marshal deployment, customer experience, and the golf-shop and reception interface.</w:t>
            </w:r>
          </w:p>
        </w:tc>
      </w:tr>
      <w:tr>
        <w:trPr>
          <w:cantSplit/>
        </w:trPr>
        <w:tc>
          <w:tcPr>
            <w:tcW w:w="900" w:type="dxa"/>
            <w:shd w:fill="FFFFFF" w:val="clear"/>
            <w:vAlign w:val="center"/>
          </w:tcPr>
          <w:p>
            <w:pPr>
              <w:spacing w:before="20" w:after="20" w:line="252" w:lineRule="auto"/>
            </w:pPr>
            <w:r/>
            <w:r>
              <w:rPr>
                <w:rFonts w:ascii="Calibri" w:hAnsi="Calibri" w:eastAsia="Calibri"/>
                <w:b w:val="0"/>
                <w:i w:val="0"/>
                <w:color w:val="1A1A1A"/>
                <w:sz w:val="18"/>
              </w:rPr>
              <w:t>L2</w:t>
            </w:r>
          </w:p>
        </w:tc>
        <w:tc>
          <w:tcPr>
            <w:tcW w:w="3200" w:type="dxa"/>
            <w:shd w:fill="FFFFFF" w:val="clear"/>
            <w:vAlign w:val="center"/>
          </w:tcPr>
          <w:p>
            <w:pPr>
              <w:spacing w:before="20" w:after="20" w:line="252" w:lineRule="auto"/>
            </w:pPr>
            <w:r/>
            <w:r>
              <w:rPr>
                <w:rFonts w:ascii="Calibri" w:hAnsi="Calibri" w:eastAsia="Calibri"/>
                <w:b w:val="0"/>
                <w:i w:val="0"/>
                <w:color w:val="1A1A1A"/>
                <w:sz w:val="18"/>
              </w:rPr>
              <w:t>Course Manager / Head Greenkeeper</w:t>
            </w:r>
          </w:p>
        </w:tc>
        <w:tc>
          <w:tcPr>
            <w:tcW w:w="5980" w:type="dxa"/>
            <w:shd w:fill="FFFFFF" w:val="clear"/>
            <w:vAlign w:val="center"/>
          </w:tcPr>
          <w:p>
            <w:pPr>
              <w:spacing w:before="20" w:after="20" w:line="252" w:lineRule="auto"/>
            </w:pPr>
            <w:r/>
            <w:r>
              <w:rPr>
                <w:rFonts w:ascii="Calibri" w:hAnsi="Calibri" w:eastAsia="Calibri"/>
                <w:b w:val="0"/>
                <w:i w:val="0"/>
                <w:color w:val="1A1A1A"/>
                <w:sz w:val="18"/>
              </w:rPr>
              <w:t>Course presentation, maintenance programme, team supervision, irrigation, machinery, chemicals, water use, safety and the course budget.</w:t>
            </w:r>
          </w:p>
        </w:tc>
      </w:tr>
      <w:tr>
        <w:trPr>
          <w:cantSplit/>
        </w:trPr>
        <w:tc>
          <w:tcPr>
            <w:tcW w:w="900" w:type="dxa"/>
            <w:shd w:fill="F4F7F4" w:val="clear"/>
            <w:vAlign w:val="center"/>
          </w:tcPr>
          <w:p>
            <w:pPr>
              <w:spacing w:before="20" w:after="20" w:line="252" w:lineRule="auto"/>
            </w:pPr>
            <w:r/>
            <w:r>
              <w:rPr>
                <w:rFonts w:ascii="Calibri" w:hAnsi="Calibri" w:eastAsia="Calibri"/>
                <w:b w:val="0"/>
                <w:i w:val="0"/>
                <w:color w:val="1A1A1A"/>
                <w:sz w:val="18"/>
              </w:rPr>
              <w:t>L2</w:t>
            </w:r>
          </w:p>
        </w:tc>
        <w:tc>
          <w:tcPr>
            <w:tcW w:w="3200" w:type="dxa"/>
            <w:shd w:fill="F4F7F4" w:val="clear"/>
            <w:vAlign w:val="center"/>
          </w:tcPr>
          <w:p>
            <w:pPr>
              <w:spacing w:before="20" w:after="20" w:line="252" w:lineRule="auto"/>
            </w:pPr>
            <w:r/>
            <w:r>
              <w:rPr>
                <w:rFonts w:ascii="Calibri" w:hAnsi="Calibri" w:eastAsia="Calibri"/>
                <w:b w:val="0"/>
                <w:i w:val="0"/>
                <w:color w:val="1A1A1A"/>
                <w:sz w:val="18"/>
              </w:rPr>
              <w:t>Clubhouse &amp; Restaurant Manager</w:t>
            </w:r>
          </w:p>
        </w:tc>
        <w:tc>
          <w:tcPr>
            <w:tcW w:w="5980" w:type="dxa"/>
            <w:shd w:fill="F4F7F4" w:val="clear"/>
            <w:vAlign w:val="center"/>
          </w:tcPr>
          <w:p>
            <w:pPr>
              <w:spacing w:before="20" w:after="20" w:line="252" w:lineRule="auto"/>
            </w:pPr>
            <w:r/>
            <w:r>
              <w:rPr>
                <w:rFonts w:ascii="Calibri" w:hAnsi="Calibri" w:eastAsia="Calibri"/>
                <w:b w:val="0"/>
                <w:i w:val="0"/>
                <w:color w:val="1A1A1A"/>
                <w:sz w:val="18"/>
              </w:rPr>
              <w:t>Restaurant and bar performance, service, kitchen coordination, rotas, food safety, stock, customer experience and clubhouse standards.</w:t>
            </w:r>
          </w:p>
        </w:tc>
      </w:tr>
    </w:tbl>
    <w:p>
      <w:pPr>
        <w:spacing w:before="200" w:after="80" w:line="269" w:lineRule="auto"/>
      </w:pPr>
      <w:r>
        <w:rPr>
          <w:rFonts w:ascii="Calibri" w:hAnsi="Calibri" w:eastAsia="Calibri"/>
          <w:b/>
          <w:i w:val="0"/>
          <w:color w:val="1F3D32"/>
          <w:sz w:val="22"/>
        </w:rPr>
        <w:t>Proposed reporting lines — all five managers report to the Managing Director.</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016"/>
        <w:gridCol w:w="2016"/>
        <w:gridCol w:w="2016"/>
        <w:gridCol w:w="2016"/>
        <w:gridCol w:w="2016"/>
      </w:tblGrid>
      <w:tr>
        <w:trPr>
          <w:tblHeader/>
          <w:cantSplit/>
        </w:trPr>
        <w:tc>
          <w:tcPr>
            <w:tcW w:w="10080" w:type="dxa"/>
            <w:gridSpan w:val="5"/>
            <w:shd w:fill="1B4D3E" w:val="clear"/>
            <w:vAlign w:val="center"/>
          </w:tcPr>
          <w:p>
            <w:pPr>
              <w:spacing w:before="20" w:after="20" w:line="252" w:lineRule="auto"/>
              <w:jc w:val="center"/>
            </w:pPr>
            <w:r/>
            <w:r>
              <w:rPr>
                <w:rFonts w:ascii="Calibri" w:hAnsi="Calibri" w:eastAsia="Calibri"/>
                <w:b/>
                <w:i w:val="0"/>
                <w:color w:val="FFFFFF"/>
                <w:sz w:val="20"/>
              </w:rPr>
              <w:t>Managing Director (L1)</w:t>
            </w:r>
          </w:p>
        </w:tc>
      </w:tr>
      <w:tr>
        <w:trPr>
          <w:cantSplit/>
        </w:trPr>
        <w:tc>
          <w:tcPr>
            <w:tcW w:w="2016" w:type="dxa"/>
            <w:shd w:fill="FFFFFF" w:val="clear"/>
            <w:vAlign w:val="center"/>
          </w:tcPr>
          <w:p>
            <w:pPr>
              <w:spacing w:before="20" w:after="20" w:line="252" w:lineRule="auto"/>
            </w:pPr>
            <w:r/>
            <w:r>
              <w:rPr>
                <w:rFonts w:ascii="Calibri" w:hAnsi="Calibri" w:eastAsia="Calibri"/>
                <w:b w:val="0"/>
                <w:i w:val="0"/>
                <w:color w:val="1A1A1A"/>
                <w:sz w:val="16"/>
              </w:rPr>
              <w:t>Finance &amp; Admin, Manager (L2)</w:t>
            </w:r>
          </w:p>
        </w:tc>
        <w:tc>
          <w:tcPr>
            <w:tcW w:w="2016" w:type="dxa"/>
            <w:shd w:fill="FFFFFF" w:val="clear"/>
            <w:vAlign w:val="center"/>
          </w:tcPr>
          <w:p>
            <w:pPr>
              <w:spacing w:before="20" w:after="20" w:line="252" w:lineRule="auto"/>
            </w:pPr>
            <w:r/>
            <w:r>
              <w:rPr>
                <w:rFonts w:ascii="Calibri" w:hAnsi="Calibri" w:eastAsia="Calibri"/>
                <w:b w:val="0"/>
                <w:i w:val="0"/>
                <w:color w:val="1A1A1A"/>
                <w:sz w:val="16"/>
              </w:rPr>
              <w:t>Sales &amp; Marketing, Manager (L2)</w:t>
            </w:r>
          </w:p>
        </w:tc>
        <w:tc>
          <w:tcPr>
            <w:tcW w:w="2016" w:type="dxa"/>
            <w:shd w:fill="FFFFFF" w:val="clear"/>
            <w:vAlign w:val="center"/>
          </w:tcPr>
          <w:p>
            <w:pPr>
              <w:spacing w:before="20" w:after="20" w:line="252" w:lineRule="auto"/>
            </w:pPr>
            <w:r/>
            <w:r>
              <w:rPr>
                <w:rFonts w:ascii="Calibri" w:hAnsi="Calibri" w:eastAsia="Calibri"/>
                <w:b w:val="0"/>
                <w:i w:val="0"/>
                <w:color w:val="1A1A1A"/>
                <w:sz w:val="16"/>
              </w:rPr>
              <w:t>Golf Operations, Manager (L2)</w:t>
            </w:r>
          </w:p>
        </w:tc>
        <w:tc>
          <w:tcPr>
            <w:tcW w:w="2016" w:type="dxa"/>
            <w:shd w:fill="FFFFFF" w:val="clear"/>
            <w:vAlign w:val="center"/>
          </w:tcPr>
          <w:p>
            <w:pPr>
              <w:spacing w:before="20" w:after="20" w:line="252" w:lineRule="auto"/>
            </w:pPr>
            <w:r/>
            <w:r>
              <w:rPr>
                <w:rFonts w:ascii="Calibri" w:hAnsi="Calibri" w:eastAsia="Calibri"/>
                <w:b w:val="0"/>
                <w:i w:val="0"/>
                <w:color w:val="1A1A1A"/>
                <w:sz w:val="16"/>
              </w:rPr>
              <w:t>Course, Manager (L2)</w:t>
            </w:r>
          </w:p>
        </w:tc>
        <w:tc>
          <w:tcPr>
            <w:tcW w:w="2016" w:type="dxa"/>
            <w:shd w:fill="FFFFFF" w:val="clear"/>
            <w:vAlign w:val="center"/>
          </w:tcPr>
          <w:p>
            <w:pPr>
              <w:spacing w:before="20" w:after="20" w:line="252" w:lineRule="auto"/>
            </w:pPr>
            <w:r/>
            <w:r>
              <w:rPr>
                <w:rFonts w:ascii="Calibri" w:hAnsi="Calibri" w:eastAsia="Calibri"/>
                <w:b w:val="0"/>
                <w:i w:val="0"/>
                <w:color w:val="1A1A1A"/>
                <w:sz w:val="16"/>
              </w:rPr>
              <w:t>Clubhouse &amp; Restaurant, Manager (L2)</w:t>
            </w:r>
          </w:p>
        </w:tc>
      </w:tr>
    </w:tbl>
    <w:p>
      <w:pPr>
        <w:spacing w:before="120" w:after="120" w:line="269" w:lineRule="auto"/>
      </w:pPr>
      <w:r>
        <w:rPr>
          <w:rFonts w:ascii="Calibri" w:hAnsi="Calibri" w:eastAsia="Calibri"/>
          <w:b w:val="0"/>
          <w:i w:val="0"/>
          <w:color w:val="1A1A1A"/>
          <w:sz w:val="22"/>
        </w:rPr>
        <w:t>Golf reception, reservations and membership administration need a clear owner before people are assigned. The proposed split is: Sales owns demand and commercial strategy; Golf Operations owns daily delivery; Finance &amp; Administration owns financial controls and administration processes. Confirm actual duties first.</w:t>
      </w:r>
    </w:p>
    <w:p>
      <w:pPr>
        <w:spacing w:before="120" w:after="120" w:line="269" w:lineRule="auto"/>
      </w:pPr>
      <w:r>
        <w:rPr>
          <w:rFonts w:ascii="Calibri" w:hAnsi="Calibri" w:eastAsia="Calibri"/>
          <w:b w:val="0"/>
          <w:i/>
          <w:color w:val="3D4A42"/>
          <w:sz w:val="20"/>
        </w:rPr>
        <w:t>The golf professional is named in today’s headcount headings and is not yet on this chart. Place that role when Part 1 is complete.</w:t>
      </w:r>
    </w:p>
    <w:p>
      <w:pPr>
        <w:pStyle w:val="Heading2"/>
        <w:spacing w:before="200" w:after="80"/>
      </w:pPr>
      <w:r>
        <w:rPr>
          <w:rFonts w:ascii="Calibri" w:hAnsi="Calibri" w:eastAsia="Calibri"/>
          <w:color w:val="1F3D32"/>
        </w:rPr>
        <w:t>2.2 Job levels</w:t>
      </w:r>
    </w:p>
    <w:p>
      <w:pPr>
        <w:spacing w:before="120" w:after="120" w:line="269" w:lineRule="auto"/>
      </w:pPr>
      <w:r>
        <w:rPr>
          <w:rFonts w:ascii="Calibri" w:hAnsi="Calibri" w:eastAsia="Calibri"/>
          <w:b w:val="0"/>
          <w:i w:val="0"/>
          <w:color w:val="1A1A1A"/>
          <w:sz w:val="22"/>
        </w:rPr>
        <w:t>Grade the job, not the person. Level follows responsibility, decision-making, skill, qualification and accountability.</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200"/>
        <w:gridCol w:w="3940"/>
        <w:gridCol w:w="3940"/>
      </w:tblGrid>
      <w:tr>
        <w:trPr>
          <w:tblHeader/>
          <w:cantSplit/>
        </w:trPr>
        <w:tc>
          <w:tcPr>
            <w:tcW w:w="2200" w:type="dxa"/>
            <w:shd w:fill="1B4D3E" w:val="clear"/>
            <w:vAlign w:val="center"/>
          </w:tcPr>
          <w:p>
            <w:pPr>
              <w:spacing w:before="20" w:after="20" w:line="252" w:lineRule="auto"/>
            </w:pPr>
            <w:r/>
            <w:r>
              <w:rPr>
                <w:rFonts w:ascii="Calibri" w:hAnsi="Calibri" w:eastAsia="Calibri"/>
                <w:b/>
                <w:i w:val="0"/>
                <w:color w:val="FFFFFF"/>
                <w:sz w:val="18"/>
              </w:rPr>
              <w:t>Level</w:t>
            </w:r>
          </w:p>
        </w:tc>
        <w:tc>
          <w:tcPr>
            <w:tcW w:w="3940" w:type="dxa"/>
            <w:shd w:fill="1B4D3E" w:val="clear"/>
            <w:vAlign w:val="center"/>
          </w:tcPr>
          <w:p>
            <w:pPr>
              <w:spacing w:before="20" w:after="20" w:line="252" w:lineRule="auto"/>
            </w:pPr>
            <w:r/>
            <w:r>
              <w:rPr>
                <w:rFonts w:ascii="Calibri" w:hAnsi="Calibri" w:eastAsia="Calibri"/>
                <w:b/>
                <w:i w:val="0"/>
                <w:color w:val="FFFFFF"/>
                <w:sz w:val="18"/>
              </w:rPr>
              <w:t>Typical scope</w:t>
            </w:r>
          </w:p>
        </w:tc>
        <w:tc>
          <w:tcPr>
            <w:tcW w:w="3940" w:type="dxa"/>
            <w:shd w:fill="1B4D3E" w:val="clear"/>
            <w:vAlign w:val="center"/>
          </w:tcPr>
          <w:p>
            <w:pPr>
              <w:spacing w:before="20" w:after="20" w:line="252" w:lineRule="auto"/>
            </w:pPr>
            <w:r/>
            <w:r>
              <w:rPr>
                <w:rFonts w:ascii="Calibri" w:hAnsi="Calibri" w:eastAsia="Calibri"/>
                <w:b/>
                <w:i w:val="0"/>
                <w:color w:val="FFFFFF"/>
                <w:sz w:val="18"/>
              </w:rPr>
              <w:t>Examples</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L1 — Executive</w:t>
            </w:r>
          </w:p>
        </w:tc>
        <w:tc>
          <w:tcPr>
            <w:tcW w:w="3940" w:type="dxa"/>
            <w:shd w:fill="FFFFFF" w:val="clear"/>
            <w:vAlign w:val="center"/>
          </w:tcPr>
          <w:p>
            <w:pPr>
              <w:spacing w:before="20" w:after="20" w:line="252" w:lineRule="auto"/>
            </w:pPr>
            <w:r/>
            <w:r>
              <w:rPr>
                <w:rFonts w:ascii="Calibri" w:hAnsi="Calibri" w:eastAsia="Calibri"/>
                <w:b w:val="0"/>
                <w:i w:val="0"/>
                <w:color w:val="1A1A1A"/>
                <w:sz w:val="18"/>
              </w:rPr>
              <w:t>Accountable for the whole club and the overall result.</w:t>
            </w:r>
          </w:p>
        </w:tc>
        <w:tc>
          <w:tcPr>
            <w:tcW w:w="3940" w:type="dxa"/>
            <w:shd w:fill="FFFFFF" w:val="clear"/>
            <w:vAlign w:val="center"/>
          </w:tcPr>
          <w:p>
            <w:pPr>
              <w:spacing w:before="20" w:after="20" w:line="252" w:lineRule="auto"/>
            </w:pPr>
            <w:r/>
            <w:r>
              <w:rPr>
                <w:rFonts w:ascii="Calibri" w:hAnsi="Calibri" w:eastAsia="Calibri"/>
                <w:b w:val="0"/>
                <w:i w:val="0"/>
                <w:color w:val="1A1A1A"/>
                <w:sz w:val="18"/>
              </w:rPr>
              <w:t>Managing Director.</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L2 — Department manager</w:t>
            </w:r>
          </w:p>
        </w:tc>
        <w:tc>
          <w:tcPr>
            <w:tcW w:w="3940" w:type="dxa"/>
            <w:shd w:fill="F4F7F4" w:val="clear"/>
            <w:vAlign w:val="center"/>
          </w:tcPr>
          <w:p>
            <w:pPr>
              <w:spacing w:before="20" w:after="20" w:line="252" w:lineRule="auto"/>
            </w:pPr>
            <w:r/>
            <w:r>
              <w:rPr>
                <w:rFonts w:ascii="Calibri" w:hAnsi="Calibri" w:eastAsia="Calibri"/>
                <w:b w:val="0"/>
                <w:i w:val="0"/>
                <w:color w:val="1A1A1A"/>
                <w:sz w:val="18"/>
              </w:rPr>
              <w:t>Owns a department, its budget, staffing, targets and standards. Reports to the Managing Director.</w:t>
            </w:r>
          </w:p>
        </w:tc>
        <w:tc>
          <w:tcPr>
            <w:tcW w:w="3940" w:type="dxa"/>
            <w:shd w:fill="F4F7F4" w:val="clear"/>
            <w:vAlign w:val="center"/>
          </w:tcPr>
          <w:p>
            <w:pPr>
              <w:spacing w:before="20" w:after="20" w:line="252" w:lineRule="auto"/>
            </w:pPr>
            <w:r/>
            <w:r>
              <w:rPr>
                <w:rFonts w:ascii="Calibri" w:hAnsi="Calibri" w:eastAsia="Calibri"/>
                <w:b w:val="0"/>
                <w:i w:val="0"/>
                <w:color w:val="1A1A1A"/>
                <w:sz w:val="18"/>
              </w:rPr>
              <w:t>The five functional managers.</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L3 — Supervisor / senior specialist</w:t>
            </w:r>
          </w:p>
        </w:tc>
        <w:tc>
          <w:tcPr>
            <w:tcW w:w="3940" w:type="dxa"/>
            <w:shd w:fill="FFFFFF" w:val="clear"/>
            <w:vAlign w:val="center"/>
          </w:tcPr>
          <w:p>
            <w:pPr>
              <w:spacing w:before="20" w:after="20" w:line="252" w:lineRule="auto"/>
            </w:pPr>
            <w:r/>
            <w:r>
              <w:rPr>
                <w:rFonts w:ascii="Calibri" w:hAnsi="Calibri" w:eastAsia="Calibri"/>
                <w:b w:val="0"/>
                <w:i w:val="0"/>
                <w:color w:val="1A1A1A"/>
                <w:sz w:val="18"/>
              </w:rPr>
              <w:t>Leads a team, a shift or a technical area, with delegated operational responsibility.</w:t>
            </w:r>
          </w:p>
        </w:tc>
        <w:tc>
          <w:tcPr>
            <w:tcW w:w="3940" w:type="dxa"/>
            <w:shd w:fill="FFFFFF" w:val="clear"/>
            <w:vAlign w:val="center"/>
          </w:tcPr>
          <w:p>
            <w:pPr>
              <w:spacing w:before="20" w:after="20" w:line="252" w:lineRule="auto"/>
            </w:pPr>
            <w:r/>
            <w:r>
              <w:rPr>
                <w:rFonts w:ascii="Calibri" w:hAnsi="Calibri" w:eastAsia="Calibri"/>
                <w:b w:val="0"/>
                <w:i w:val="0"/>
                <w:color w:val="1A1A1A"/>
                <w:sz w:val="18"/>
              </w:rPr>
              <w:t>Senior golf operations supervisor; deputy head greenkeeper; restaurant shift supervisor; office supervisor.</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L4 — Skilled / experienced</w:t>
            </w:r>
          </w:p>
        </w:tc>
        <w:tc>
          <w:tcPr>
            <w:tcW w:w="3940" w:type="dxa"/>
            <w:shd w:fill="F4F7F4" w:val="clear"/>
            <w:vAlign w:val="center"/>
          </w:tcPr>
          <w:p>
            <w:pPr>
              <w:spacing w:before="20" w:after="20" w:line="252" w:lineRule="auto"/>
            </w:pPr>
            <w:r/>
            <w:r>
              <w:rPr>
                <w:rFonts w:ascii="Calibri" w:hAnsi="Calibri" w:eastAsia="Calibri"/>
                <w:b w:val="0"/>
                <w:i w:val="0"/>
                <w:color w:val="1A1A1A"/>
                <w:sz w:val="18"/>
              </w:rPr>
              <w:t>Qualified or experienced independent work. May mentor others. Does not necessarily manage staff.</w:t>
            </w:r>
          </w:p>
        </w:tc>
        <w:tc>
          <w:tcPr>
            <w:tcW w:w="3940" w:type="dxa"/>
            <w:shd w:fill="F4F7F4" w:val="clear"/>
            <w:vAlign w:val="center"/>
          </w:tcPr>
          <w:p>
            <w:pPr>
              <w:spacing w:before="20" w:after="20" w:line="252" w:lineRule="auto"/>
            </w:pPr>
            <w:r/>
            <w:r>
              <w:rPr>
                <w:rFonts w:ascii="Calibri" w:hAnsi="Calibri" w:eastAsia="Calibri"/>
                <w:b w:val="0"/>
                <w:i w:val="0"/>
                <w:color w:val="1A1A1A"/>
                <w:sz w:val="18"/>
              </w:rPr>
              <w:t>Accountant or payroll officer; reservations executive; senior greenkeeper or irrigation technician; qualified chef.</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L5 — Operational</w:t>
            </w:r>
          </w:p>
        </w:tc>
        <w:tc>
          <w:tcPr>
            <w:tcW w:w="3940" w:type="dxa"/>
            <w:shd w:fill="FFFFFF" w:val="clear"/>
            <w:vAlign w:val="center"/>
          </w:tcPr>
          <w:p>
            <w:pPr>
              <w:spacing w:before="20" w:after="20" w:line="252" w:lineRule="auto"/>
            </w:pPr>
            <w:r/>
            <w:r>
              <w:rPr>
                <w:rFonts w:ascii="Calibri" w:hAnsi="Calibri" w:eastAsia="Calibri"/>
                <w:b w:val="0"/>
                <w:i w:val="0"/>
                <w:color w:val="1A1A1A"/>
                <w:sz w:val="18"/>
              </w:rPr>
              <w:t>Defined day-to-day duties under the relevant manager or supervisor.</w:t>
            </w:r>
          </w:p>
        </w:tc>
        <w:tc>
          <w:tcPr>
            <w:tcW w:w="3940" w:type="dxa"/>
            <w:shd w:fill="FFFFFF" w:val="clear"/>
            <w:vAlign w:val="center"/>
          </w:tcPr>
          <w:p>
            <w:pPr>
              <w:spacing w:before="20" w:after="20" w:line="252" w:lineRule="auto"/>
            </w:pPr>
            <w:r/>
            <w:r>
              <w:rPr>
                <w:rFonts w:ascii="Calibri" w:hAnsi="Calibri" w:eastAsia="Calibri"/>
                <w:b w:val="0"/>
                <w:i w:val="0"/>
                <w:color w:val="1A1A1A"/>
                <w:sz w:val="18"/>
              </w:rPr>
              <w:t>Greenkeeper; marshal; receptionist or administrator; waiter; kitchen assistant.</w:t>
            </w:r>
          </w:p>
        </w:tc>
      </w:tr>
    </w:tbl>
    <w:p>
      <w:pPr>
        <w:pStyle w:val="ListBullet"/>
        <w:spacing w:before="20" w:after="20"/>
        <w:ind w:left="567"/>
      </w:pPr>
      <w:r>
        <w:rPr>
          <w:rFonts w:ascii="Calibri" w:hAnsi="Calibri" w:eastAsia="Calibri"/>
          <w:color w:val="1A1A1A"/>
          <w:sz w:val="22"/>
        </w:rPr>
        <w:t>Do not assume every department needs an L3 supervisor. Add one only where span of control, shift cover or technical complexity justifies it.</w:t>
      </w:r>
    </w:p>
    <w:p>
      <w:pPr>
        <w:pStyle w:val="ListBullet"/>
        <w:spacing w:before="20" w:after="20"/>
        <w:ind w:left="567"/>
      </w:pPr>
      <w:r>
        <w:rPr>
          <w:rFonts w:ascii="Calibri" w:hAnsi="Calibri" w:eastAsia="Calibri"/>
          <w:color w:val="1A1A1A"/>
          <w:sz w:val="22"/>
        </w:rPr>
        <w:t>An experienced specialist may be paid more than a supervisor where skill scarcity or responsibility warrants it.</w:t>
      </w:r>
    </w:p>
    <w:p>
      <w:pPr>
        <w:pStyle w:val="ListBullet"/>
        <w:spacing w:before="20" w:after="20"/>
        <w:ind w:left="567"/>
      </w:pPr>
      <w:r>
        <w:rPr>
          <w:rFonts w:ascii="Calibri" w:hAnsi="Calibri" w:eastAsia="Calibri"/>
          <w:color w:val="1A1A1A"/>
          <w:sz w:val="22"/>
        </w:rPr>
        <w:t>Use the same criteria everywhere, and write down every exception, so internal equity can be defended.</w:t>
      </w:r>
    </w:p>
    <w:p>
      <w:pPr>
        <w:pStyle w:val="Heading2"/>
        <w:spacing w:before="200" w:after="80"/>
      </w:pPr>
      <w:r>
        <w:rPr>
          <w:rFonts w:ascii="Calibri" w:hAnsi="Calibri" w:eastAsia="Calibri"/>
          <w:color w:val="1F3D32"/>
        </w:rPr>
        <w:t>2.3 Indicative salary bands</w:t>
      </w:r>
    </w:p>
    <w:p>
      <w:pPr>
        <w:spacing w:before="120" w:after="120" w:line="269" w:lineRule="auto"/>
      </w:pPr>
      <w:r>
        <w:rPr>
          <w:rFonts w:ascii="Calibri" w:hAnsi="Calibri" w:eastAsia="Calibri"/>
          <w:b w:val="0"/>
          <w:i w:val="0"/>
          <w:color w:val="1A1A1A"/>
          <w:sz w:val="22"/>
        </w:rPr>
        <w:t>Provisional gross annual ranges for full-time roles in the Costa del Sol. Discussion baseline only. Validate them against current local recruitment evidence, the applicable collective agreement, contract terms and equal-pay obligations. They exclude employer social security, benefits, overtime and variable pay. Confirm 12-payment or 14-payment salaries and compare like for like. These ranges are not minimum pay, not guaranteed pay, and not an instruction to change existing salaries.</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1200"/>
        <w:gridCol w:w="5200"/>
        <w:gridCol w:w="3680"/>
      </w:tblGrid>
      <w:tr>
        <w:trPr>
          <w:tblHeader/>
          <w:cantSplit/>
        </w:trPr>
        <w:tc>
          <w:tcPr>
            <w:tcW w:w="1200" w:type="dxa"/>
            <w:shd w:fill="1B4D3E" w:val="clear"/>
            <w:vAlign w:val="center"/>
          </w:tcPr>
          <w:p>
            <w:pPr>
              <w:spacing w:before="20" w:after="20" w:line="252" w:lineRule="auto"/>
            </w:pPr>
            <w:r/>
            <w:r>
              <w:rPr>
                <w:rFonts w:ascii="Calibri" w:hAnsi="Calibri" w:eastAsia="Calibri"/>
                <w:b/>
                <w:i w:val="0"/>
                <w:color w:val="FFFFFF"/>
                <w:sz w:val="18"/>
              </w:rPr>
              <w:t>Level</w:t>
            </w:r>
          </w:p>
        </w:tc>
        <w:tc>
          <w:tcPr>
            <w:tcW w:w="5200" w:type="dxa"/>
            <w:shd w:fill="1B4D3E" w:val="clear"/>
            <w:vAlign w:val="center"/>
          </w:tcPr>
          <w:p>
            <w:pPr>
              <w:spacing w:before="20" w:after="20" w:line="252" w:lineRule="auto"/>
            </w:pPr>
            <w:r/>
            <w:r>
              <w:rPr>
                <w:rFonts w:ascii="Calibri" w:hAnsi="Calibri" w:eastAsia="Calibri"/>
                <w:b/>
                <w:i w:val="0"/>
                <w:color w:val="FFFFFF"/>
                <w:sz w:val="18"/>
              </w:rPr>
              <w:t>Job title</w:t>
            </w:r>
          </w:p>
        </w:tc>
        <w:tc>
          <w:tcPr>
            <w:tcW w:w="3680" w:type="dxa"/>
            <w:shd w:fill="1B4D3E" w:val="clear"/>
            <w:vAlign w:val="center"/>
          </w:tcPr>
          <w:p>
            <w:pPr>
              <w:spacing w:before="20" w:after="20" w:line="252" w:lineRule="auto"/>
            </w:pPr>
            <w:r/>
            <w:r>
              <w:rPr>
                <w:rFonts w:ascii="Calibri" w:hAnsi="Calibri" w:eastAsia="Calibri"/>
                <w:b/>
                <w:i w:val="0"/>
                <w:color w:val="FFFFFF"/>
                <w:sz w:val="18"/>
              </w:rPr>
              <w:t>Indicative gross annual salary</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L1</w:t>
            </w:r>
          </w:p>
        </w:tc>
        <w:tc>
          <w:tcPr>
            <w:tcW w:w="5200" w:type="dxa"/>
            <w:shd w:fill="FFFFFF" w:val="clear"/>
            <w:vAlign w:val="center"/>
          </w:tcPr>
          <w:p>
            <w:pPr>
              <w:spacing w:before="20" w:after="20" w:line="252" w:lineRule="auto"/>
            </w:pPr>
            <w:r/>
            <w:r>
              <w:rPr>
                <w:rFonts w:ascii="Calibri" w:hAnsi="Calibri" w:eastAsia="Calibri"/>
                <w:b w:val="0"/>
                <w:i w:val="0"/>
                <w:color w:val="1A1A1A"/>
                <w:sz w:val="18"/>
              </w:rPr>
              <w:t>Managing Director</w:t>
            </w:r>
          </w:p>
        </w:tc>
        <w:tc>
          <w:tcPr>
            <w:tcW w:w="3680" w:type="dxa"/>
            <w:shd w:fill="FFFFFF" w:val="clear"/>
            <w:vAlign w:val="center"/>
          </w:tcPr>
          <w:p>
            <w:pPr>
              <w:spacing w:before="20" w:after="20" w:line="252" w:lineRule="auto"/>
            </w:pPr>
            <w:r/>
            <w:r>
              <w:rPr>
                <w:rFonts w:ascii="Calibri" w:hAnsi="Calibri" w:eastAsia="Calibri"/>
                <w:b w:val="0"/>
                <w:i w:val="0"/>
                <w:color w:val="1A1A1A"/>
                <w:sz w:val="18"/>
              </w:rPr>
              <w:t>€55,000–€75,000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L2</w:t>
            </w:r>
          </w:p>
        </w:tc>
        <w:tc>
          <w:tcPr>
            <w:tcW w:w="5200" w:type="dxa"/>
            <w:shd w:fill="F4F7F4" w:val="clear"/>
            <w:vAlign w:val="center"/>
          </w:tcPr>
          <w:p>
            <w:pPr>
              <w:spacing w:before="20" w:after="20" w:line="252" w:lineRule="auto"/>
            </w:pPr>
            <w:r/>
            <w:r>
              <w:rPr>
                <w:rFonts w:ascii="Calibri" w:hAnsi="Calibri" w:eastAsia="Calibri"/>
                <w:b w:val="0"/>
                <w:i w:val="0"/>
                <w:color w:val="1A1A1A"/>
                <w:sz w:val="18"/>
              </w:rPr>
              <w:t>Finance &amp; Administration Manager</w:t>
            </w:r>
          </w:p>
        </w:tc>
        <w:tc>
          <w:tcPr>
            <w:tcW w:w="3680" w:type="dxa"/>
            <w:shd w:fill="F4F7F4" w:val="clear"/>
            <w:vAlign w:val="center"/>
          </w:tcPr>
          <w:p>
            <w:pPr>
              <w:spacing w:before="20" w:after="20" w:line="252" w:lineRule="auto"/>
            </w:pPr>
            <w:r/>
            <w:r>
              <w:rPr>
                <w:rFonts w:ascii="Calibri" w:hAnsi="Calibri" w:eastAsia="Calibri"/>
                <w:b w:val="0"/>
                <w:i w:val="0"/>
                <w:color w:val="1A1A1A"/>
                <w:sz w:val="18"/>
              </w:rPr>
              <w:t>€35,000–€45,000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L2</w:t>
            </w:r>
          </w:p>
        </w:tc>
        <w:tc>
          <w:tcPr>
            <w:tcW w:w="5200" w:type="dxa"/>
            <w:shd w:fill="FFFFFF" w:val="clear"/>
            <w:vAlign w:val="center"/>
          </w:tcPr>
          <w:p>
            <w:pPr>
              <w:spacing w:before="20" w:after="20" w:line="252" w:lineRule="auto"/>
            </w:pPr>
            <w:r/>
            <w:r>
              <w:rPr>
                <w:rFonts w:ascii="Calibri" w:hAnsi="Calibri" w:eastAsia="Calibri"/>
                <w:b w:val="0"/>
                <w:i w:val="0"/>
                <w:color w:val="1A1A1A"/>
                <w:sz w:val="18"/>
              </w:rPr>
              <w:t>Sales &amp; Marketing Manager</w:t>
            </w:r>
          </w:p>
        </w:tc>
        <w:tc>
          <w:tcPr>
            <w:tcW w:w="3680" w:type="dxa"/>
            <w:shd w:fill="FFFFFF" w:val="clear"/>
            <w:vAlign w:val="center"/>
          </w:tcPr>
          <w:p>
            <w:pPr>
              <w:spacing w:before="20" w:after="20" w:line="252" w:lineRule="auto"/>
            </w:pPr>
            <w:r/>
            <w:r>
              <w:rPr>
                <w:rFonts w:ascii="Calibri" w:hAnsi="Calibri" w:eastAsia="Calibri"/>
                <w:b w:val="0"/>
                <w:i w:val="0"/>
                <w:color w:val="1A1A1A"/>
                <w:sz w:val="18"/>
              </w:rPr>
              <w:t>€32,000–€42,000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L2</w:t>
            </w:r>
          </w:p>
        </w:tc>
        <w:tc>
          <w:tcPr>
            <w:tcW w:w="5200" w:type="dxa"/>
            <w:shd w:fill="F4F7F4" w:val="clear"/>
            <w:vAlign w:val="center"/>
          </w:tcPr>
          <w:p>
            <w:pPr>
              <w:spacing w:before="20" w:after="20" w:line="252" w:lineRule="auto"/>
            </w:pPr>
            <w:r/>
            <w:r>
              <w:rPr>
                <w:rFonts w:ascii="Calibri" w:hAnsi="Calibri" w:eastAsia="Calibri"/>
                <w:b w:val="0"/>
                <w:i w:val="0"/>
                <w:color w:val="1A1A1A"/>
                <w:sz w:val="18"/>
              </w:rPr>
              <w:t>Golf Operations Manager</w:t>
            </w:r>
          </w:p>
        </w:tc>
        <w:tc>
          <w:tcPr>
            <w:tcW w:w="3680" w:type="dxa"/>
            <w:shd w:fill="F4F7F4" w:val="clear"/>
            <w:vAlign w:val="center"/>
          </w:tcPr>
          <w:p>
            <w:pPr>
              <w:spacing w:before="20" w:after="20" w:line="252" w:lineRule="auto"/>
            </w:pPr>
            <w:r/>
            <w:r>
              <w:rPr>
                <w:rFonts w:ascii="Calibri" w:hAnsi="Calibri" w:eastAsia="Calibri"/>
                <w:b w:val="0"/>
                <w:i w:val="0"/>
                <w:color w:val="1A1A1A"/>
                <w:sz w:val="18"/>
              </w:rPr>
              <w:t>€30,000–€40,000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L2</w:t>
            </w:r>
          </w:p>
        </w:tc>
        <w:tc>
          <w:tcPr>
            <w:tcW w:w="5200" w:type="dxa"/>
            <w:shd w:fill="FFFFFF" w:val="clear"/>
            <w:vAlign w:val="center"/>
          </w:tcPr>
          <w:p>
            <w:pPr>
              <w:spacing w:before="20" w:after="20" w:line="252" w:lineRule="auto"/>
            </w:pPr>
            <w:r/>
            <w:r>
              <w:rPr>
                <w:rFonts w:ascii="Calibri" w:hAnsi="Calibri" w:eastAsia="Calibri"/>
                <w:b w:val="0"/>
                <w:i w:val="0"/>
                <w:color w:val="1A1A1A"/>
                <w:sz w:val="18"/>
              </w:rPr>
              <w:t>Course Manager / Head Greenkeeper</w:t>
            </w:r>
          </w:p>
        </w:tc>
        <w:tc>
          <w:tcPr>
            <w:tcW w:w="3680" w:type="dxa"/>
            <w:shd w:fill="FFFFFF" w:val="clear"/>
            <w:vAlign w:val="center"/>
          </w:tcPr>
          <w:p>
            <w:pPr>
              <w:spacing w:before="20" w:after="20" w:line="252" w:lineRule="auto"/>
            </w:pPr>
            <w:r/>
            <w:r>
              <w:rPr>
                <w:rFonts w:ascii="Calibri" w:hAnsi="Calibri" w:eastAsia="Calibri"/>
                <w:b w:val="0"/>
                <w:i w:val="0"/>
                <w:color w:val="1A1A1A"/>
                <w:sz w:val="18"/>
              </w:rPr>
              <w:t>€32,000–€42,000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L2</w:t>
            </w:r>
          </w:p>
        </w:tc>
        <w:tc>
          <w:tcPr>
            <w:tcW w:w="5200" w:type="dxa"/>
            <w:shd w:fill="F4F7F4" w:val="clear"/>
            <w:vAlign w:val="center"/>
          </w:tcPr>
          <w:p>
            <w:pPr>
              <w:spacing w:before="20" w:after="20" w:line="252" w:lineRule="auto"/>
            </w:pPr>
            <w:r/>
            <w:r>
              <w:rPr>
                <w:rFonts w:ascii="Calibri" w:hAnsi="Calibri" w:eastAsia="Calibri"/>
                <w:b w:val="0"/>
                <w:i w:val="0"/>
                <w:color w:val="1A1A1A"/>
                <w:sz w:val="18"/>
              </w:rPr>
              <w:t>Clubhouse &amp; Restaurant Manager</w:t>
            </w:r>
          </w:p>
        </w:tc>
        <w:tc>
          <w:tcPr>
            <w:tcW w:w="3680" w:type="dxa"/>
            <w:shd w:fill="F4F7F4" w:val="clear"/>
            <w:vAlign w:val="center"/>
          </w:tcPr>
          <w:p>
            <w:pPr>
              <w:spacing w:before="20" w:after="20" w:line="252" w:lineRule="auto"/>
            </w:pPr>
            <w:r/>
            <w:r>
              <w:rPr>
                <w:rFonts w:ascii="Calibri" w:hAnsi="Calibri" w:eastAsia="Calibri"/>
                <w:b w:val="0"/>
                <w:i w:val="0"/>
                <w:color w:val="1A1A1A"/>
                <w:sz w:val="18"/>
              </w:rPr>
              <w:t>€28,000–€38,000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L3</w:t>
            </w:r>
          </w:p>
        </w:tc>
        <w:tc>
          <w:tcPr>
            <w:tcW w:w="5200" w:type="dxa"/>
            <w:shd w:fill="FFFFFF" w:val="clear"/>
            <w:vAlign w:val="center"/>
          </w:tcPr>
          <w:p>
            <w:pPr>
              <w:spacing w:before="20" w:after="20" w:line="252" w:lineRule="auto"/>
            </w:pPr>
            <w:r/>
            <w:r>
              <w:rPr>
                <w:rFonts w:ascii="Calibri" w:hAnsi="Calibri" w:eastAsia="Calibri"/>
                <w:b w:val="0"/>
                <w:i w:val="0"/>
                <w:color w:val="1A1A1A"/>
                <w:sz w:val="18"/>
              </w:rPr>
              <w:t>Assistant Finance Manager / Chief Accountant</w:t>
            </w:r>
          </w:p>
        </w:tc>
        <w:tc>
          <w:tcPr>
            <w:tcW w:w="3680" w:type="dxa"/>
            <w:shd w:fill="FFFFFF" w:val="clear"/>
            <w:vAlign w:val="center"/>
          </w:tcPr>
          <w:p>
            <w:pPr>
              <w:spacing w:before="20" w:after="20" w:line="252" w:lineRule="auto"/>
            </w:pPr>
            <w:r/>
            <w:r>
              <w:rPr>
                <w:rFonts w:ascii="Calibri" w:hAnsi="Calibri" w:eastAsia="Calibri"/>
                <w:b w:val="0"/>
                <w:i w:val="0"/>
                <w:color w:val="1A1A1A"/>
                <w:sz w:val="18"/>
              </w:rPr>
              <w:t>€27,000–€34,000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L3</w:t>
            </w:r>
          </w:p>
        </w:tc>
        <w:tc>
          <w:tcPr>
            <w:tcW w:w="5200" w:type="dxa"/>
            <w:shd w:fill="F4F7F4" w:val="clear"/>
            <w:vAlign w:val="center"/>
          </w:tcPr>
          <w:p>
            <w:pPr>
              <w:spacing w:before="20" w:after="20" w:line="252" w:lineRule="auto"/>
            </w:pPr>
            <w:r/>
            <w:r>
              <w:rPr>
                <w:rFonts w:ascii="Calibri" w:hAnsi="Calibri" w:eastAsia="Calibri"/>
                <w:b w:val="0"/>
                <w:i w:val="0"/>
                <w:color w:val="1A1A1A"/>
                <w:sz w:val="18"/>
              </w:rPr>
              <w:t>Senior Golf Operations Supervisor</w:t>
            </w:r>
          </w:p>
        </w:tc>
        <w:tc>
          <w:tcPr>
            <w:tcW w:w="3680" w:type="dxa"/>
            <w:shd w:fill="F4F7F4" w:val="clear"/>
            <w:vAlign w:val="center"/>
          </w:tcPr>
          <w:p>
            <w:pPr>
              <w:spacing w:before="20" w:after="20" w:line="252" w:lineRule="auto"/>
            </w:pPr>
            <w:r/>
            <w:r>
              <w:rPr>
                <w:rFonts w:ascii="Calibri" w:hAnsi="Calibri" w:eastAsia="Calibri"/>
                <w:b w:val="0"/>
                <w:i w:val="0"/>
                <w:color w:val="1A1A1A"/>
                <w:sz w:val="18"/>
              </w:rPr>
              <w:t>€24,000–€29,000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L3</w:t>
            </w:r>
          </w:p>
        </w:tc>
        <w:tc>
          <w:tcPr>
            <w:tcW w:w="5200" w:type="dxa"/>
            <w:shd w:fill="FFFFFF" w:val="clear"/>
            <w:vAlign w:val="center"/>
          </w:tcPr>
          <w:p>
            <w:pPr>
              <w:spacing w:before="20" w:after="20" w:line="252" w:lineRule="auto"/>
            </w:pPr>
            <w:r/>
            <w:r>
              <w:rPr>
                <w:rFonts w:ascii="Calibri" w:hAnsi="Calibri" w:eastAsia="Calibri"/>
                <w:b w:val="0"/>
                <w:i w:val="0"/>
                <w:color w:val="1A1A1A"/>
                <w:sz w:val="18"/>
              </w:rPr>
              <w:t>Assistant Course Manager / Deputy Head Greenkeeper</w:t>
            </w:r>
          </w:p>
        </w:tc>
        <w:tc>
          <w:tcPr>
            <w:tcW w:w="3680" w:type="dxa"/>
            <w:shd w:fill="FFFFFF" w:val="clear"/>
            <w:vAlign w:val="center"/>
          </w:tcPr>
          <w:p>
            <w:pPr>
              <w:spacing w:before="20" w:after="20" w:line="252" w:lineRule="auto"/>
            </w:pPr>
            <w:r/>
            <w:r>
              <w:rPr>
                <w:rFonts w:ascii="Calibri" w:hAnsi="Calibri" w:eastAsia="Calibri"/>
                <w:b w:val="0"/>
                <w:i w:val="0"/>
                <w:color w:val="1A1A1A"/>
                <w:sz w:val="18"/>
              </w:rPr>
              <w:t>€26,000–€32,000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L3</w:t>
            </w:r>
          </w:p>
        </w:tc>
        <w:tc>
          <w:tcPr>
            <w:tcW w:w="5200" w:type="dxa"/>
            <w:shd w:fill="F4F7F4" w:val="clear"/>
            <w:vAlign w:val="center"/>
          </w:tcPr>
          <w:p>
            <w:pPr>
              <w:spacing w:before="20" w:after="20" w:line="252" w:lineRule="auto"/>
            </w:pPr>
            <w:r/>
            <w:r>
              <w:rPr>
                <w:rFonts w:ascii="Calibri" w:hAnsi="Calibri" w:eastAsia="Calibri"/>
                <w:b w:val="0"/>
                <w:i w:val="0"/>
                <w:color w:val="1A1A1A"/>
                <w:sz w:val="18"/>
              </w:rPr>
              <w:t>Restaurant Shift Supervisor</w:t>
            </w:r>
          </w:p>
        </w:tc>
        <w:tc>
          <w:tcPr>
            <w:tcW w:w="3680" w:type="dxa"/>
            <w:shd w:fill="F4F7F4" w:val="clear"/>
            <w:vAlign w:val="center"/>
          </w:tcPr>
          <w:p>
            <w:pPr>
              <w:spacing w:before="20" w:after="20" w:line="252" w:lineRule="auto"/>
            </w:pPr>
            <w:r/>
            <w:r>
              <w:rPr>
                <w:rFonts w:ascii="Calibri" w:hAnsi="Calibri" w:eastAsia="Calibri"/>
                <w:b w:val="0"/>
                <w:i w:val="0"/>
                <w:color w:val="1A1A1A"/>
                <w:sz w:val="18"/>
              </w:rPr>
              <w:t>€23,000–€27,000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L3</w:t>
            </w:r>
          </w:p>
        </w:tc>
        <w:tc>
          <w:tcPr>
            <w:tcW w:w="5200" w:type="dxa"/>
            <w:shd w:fill="FFFFFF" w:val="clear"/>
            <w:vAlign w:val="center"/>
          </w:tcPr>
          <w:p>
            <w:pPr>
              <w:spacing w:before="20" w:after="20" w:line="252" w:lineRule="auto"/>
            </w:pPr>
            <w:r/>
            <w:r>
              <w:rPr>
                <w:rFonts w:ascii="Calibri" w:hAnsi="Calibri" w:eastAsia="Calibri"/>
                <w:b w:val="0"/>
                <w:i w:val="0"/>
                <w:color w:val="1A1A1A"/>
                <w:sz w:val="18"/>
              </w:rPr>
              <w:t>Senior Administrator / Office Supervisor</w:t>
            </w:r>
          </w:p>
        </w:tc>
        <w:tc>
          <w:tcPr>
            <w:tcW w:w="3680" w:type="dxa"/>
            <w:shd w:fill="FFFFFF" w:val="clear"/>
            <w:vAlign w:val="center"/>
          </w:tcPr>
          <w:p>
            <w:pPr>
              <w:spacing w:before="20" w:after="20" w:line="252" w:lineRule="auto"/>
            </w:pPr>
            <w:r/>
            <w:r>
              <w:rPr>
                <w:rFonts w:ascii="Calibri" w:hAnsi="Calibri" w:eastAsia="Calibri"/>
                <w:b w:val="0"/>
                <w:i w:val="0"/>
                <w:color w:val="1A1A1A"/>
                <w:sz w:val="18"/>
              </w:rPr>
              <w:t>€23,000–€28,000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L4</w:t>
            </w:r>
          </w:p>
        </w:tc>
        <w:tc>
          <w:tcPr>
            <w:tcW w:w="5200" w:type="dxa"/>
            <w:shd w:fill="F4F7F4" w:val="clear"/>
            <w:vAlign w:val="center"/>
          </w:tcPr>
          <w:p>
            <w:pPr>
              <w:spacing w:before="20" w:after="20" w:line="252" w:lineRule="auto"/>
            </w:pPr>
            <w:r/>
            <w:r>
              <w:rPr>
                <w:rFonts w:ascii="Calibri" w:hAnsi="Calibri" w:eastAsia="Calibri"/>
                <w:b w:val="0"/>
                <w:i w:val="0"/>
                <w:color w:val="1A1A1A"/>
                <w:sz w:val="18"/>
              </w:rPr>
              <w:t>Accountant / Payroll Officer</w:t>
            </w:r>
          </w:p>
        </w:tc>
        <w:tc>
          <w:tcPr>
            <w:tcW w:w="3680" w:type="dxa"/>
            <w:shd w:fill="F4F7F4" w:val="clear"/>
            <w:vAlign w:val="center"/>
          </w:tcPr>
          <w:p>
            <w:pPr>
              <w:spacing w:before="20" w:after="20" w:line="252" w:lineRule="auto"/>
            </w:pPr>
            <w:r/>
            <w:r>
              <w:rPr>
                <w:rFonts w:ascii="Calibri" w:hAnsi="Calibri" w:eastAsia="Calibri"/>
                <w:b w:val="0"/>
                <w:i w:val="0"/>
                <w:color w:val="1A1A1A"/>
                <w:sz w:val="18"/>
              </w:rPr>
              <w:t>€23,000–€28,000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L4</w:t>
            </w:r>
          </w:p>
        </w:tc>
        <w:tc>
          <w:tcPr>
            <w:tcW w:w="5200" w:type="dxa"/>
            <w:shd w:fill="FFFFFF" w:val="clear"/>
            <w:vAlign w:val="center"/>
          </w:tcPr>
          <w:p>
            <w:pPr>
              <w:spacing w:before="20" w:after="20" w:line="252" w:lineRule="auto"/>
            </w:pPr>
            <w:r/>
            <w:r>
              <w:rPr>
                <w:rFonts w:ascii="Calibri" w:hAnsi="Calibri" w:eastAsia="Calibri"/>
                <w:b w:val="0"/>
                <w:i w:val="0"/>
                <w:color w:val="1A1A1A"/>
                <w:sz w:val="18"/>
              </w:rPr>
              <w:t>Sales &amp; Reservations Executive</w:t>
            </w:r>
          </w:p>
        </w:tc>
        <w:tc>
          <w:tcPr>
            <w:tcW w:w="3680" w:type="dxa"/>
            <w:shd w:fill="FFFFFF" w:val="clear"/>
            <w:vAlign w:val="center"/>
          </w:tcPr>
          <w:p>
            <w:pPr>
              <w:spacing w:before="20" w:after="20" w:line="252" w:lineRule="auto"/>
            </w:pPr>
            <w:r/>
            <w:r>
              <w:rPr>
                <w:rFonts w:ascii="Calibri" w:hAnsi="Calibri" w:eastAsia="Calibri"/>
                <w:b w:val="0"/>
                <w:i w:val="0"/>
                <w:color w:val="1A1A1A"/>
                <w:sz w:val="18"/>
              </w:rPr>
              <w:t>€22,000–€27,000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L4</w:t>
            </w:r>
          </w:p>
        </w:tc>
        <w:tc>
          <w:tcPr>
            <w:tcW w:w="5200" w:type="dxa"/>
            <w:shd w:fill="F4F7F4" w:val="clear"/>
            <w:vAlign w:val="center"/>
          </w:tcPr>
          <w:p>
            <w:pPr>
              <w:spacing w:before="20" w:after="20" w:line="252" w:lineRule="auto"/>
            </w:pPr>
            <w:r/>
            <w:r>
              <w:rPr>
                <w:rFonts w:ascii="Calibri" w:hAnsi="Calibri" w:eastAsia="Calibri"/>
                <w:b w:val="0"/>
                <w:i w:val="0"/>
                <w:color w:val="1A1A1A"/>
                <w:sz w:val="18"/>
              </w:rPr>
              <w:t>Senior Greenkeeper / Irrigation Technician</w:t>
            </w:r>
          </w:p>
        </w:tc>
        <w:tc>
          <w:tcPr>
            <w:tcW w:w="3680" w:type="dxa"/>
            <w:shd w:fill="F4F7F4" w:val="clear"/>
            <w:vAlign w:val="center"/>
          </w:tcPr>
          <w:p>
            <w:pPr>
              <w:spacing w:before="20" w:after="20" w:line="252" w:lineRule="auto"/>
            </w:pPr>
            <w:r/>
            <w:r>
              <w:rPr>
                <w:rFonts w:ascii="Calibri" w:hAnsi="Calibri" w:eastAsia="Calibri"/>
                <w:b w:val="0"/>
                <w:i w:val="0"/>
                <w:color w:val="1A1A1A"/>
                <w:sz w:val="18"/>
              </w:rPr>
              <w:t>€23,000–€28,000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L4</w:t>
            </w:r>
          </w:p>
        </w:tc>
        <w:tc>
          <w:tcPr>
            <w:tcW w:w="5200" w:type="dxa"/>
            <w:shd w:fill="FFFFFF" w:val="clear"/>
            <w:vAlign w:val="center"/>
          </w:tcPr>
          <w:p>
            <w:pPr>
              <w:spacing w:before="20" w:after="20" w:line="252" w:lineRule="auto"/>
            </w:pPr>
            <w:r/>
            <w:r>
              <w:rPr>
                <w:rFonts w:ascii="Calibri" w:hAnsi="Calibri" w:eastAsia="Calibri"/>
                <w:b w:val="0"/>
                <w:i w:val="0"/>
                <w:color w:val="1A1A1A"/>
                <w:sz w:val="18"/>
              </w:rPr>
              <w:t>Qualified Chef</w:t>
            </w:r>
          </w:p>
        </w:tc>
        <w:tc>
          <w:tcPr>
            <w:tcW w:w="3680" w:type="dxa"/>
            <w:shd w:fill="FFFFFF" w:val="clear"/>
            <w:vAlign w:val="center"/>
          </w:tcPr>
          <w:p>
            <w:pPr>
              <w:spacing w:before="20" w:after="20" w:line="252" w:lineRule="auto"/>
            </w:pPr>
            <w:r/>
            <w:r>
              <w:rPr>
                <w:rFonts w:ascii="Calibri" w:hAnsi="Calibri" w:eastAsia="Calibri"/>
                <w:b w:val="0"/>
                <w:i w:val="0"/>
                <w:color w:val="1A1A1A"/>
                <w:sz w:val="18"/>
              </w:rPr>
              <w:t>€23,000–€28,000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L4</w:t>
            </w:r>
          </w:p>
        </w:tc>
        <w:tc>
          <w:tcPr>
            <w:tcW w:w="5200" w:type="dxa"/>
            <w:shd w:fill="F4F7F4" w:val="clear"/>
            <w:vAlign w:val="center"/>
          </w:tcPr>
          <w:p>
            <w:pPr>
              <w:spacing w:before="20" w:after="20" w:line="252" w:lineRule="auto"/>
            </w:pPr>
            <w:r/>
            <w:r>
              <w:rPr>
                <w:rFonts w:ascii="Calibri" w:hAnsi="Calibri" w:eastAsia="Calibri"/>
                <w:b w:val="0"/>
                <w:i w:val="0"/>
                <w:color w:val="1A1A1A"/>
                <w:sz w:val="18"/>
              </w:rPr>
              <w:t>Experienced Waiter / Senior Service Staff</w:t>
            </w:r>
          </w:p>
        </w:tc>
        <w:tc>
          <w:tcPr>
            <w:tcW w:w="3680" w:type="dxa"/>
            <w:shd w:fill="F4F7F4" w:val="clear"/>
            <w:vAlign w:val="center"/>
          </w:tcPr>
          <w:p>
            <w:pPr>
              <w:spacing w:before="20" w:after="20" w:line="252" w:lineRule="auto"/>
            </w:pPr>
            <w:r/>
            <w:r>
              <w:rPr>
                <w:rFonts w:ascii="Calibri" w:hAnsi="Calibri" w:eastAsia="Calibri"/>
                <w:b w:val="0"/>
                <w:i w:val="0"/>
                <w:color w:val="1A1A1A"/>
                <w:sz w:val="18"/>
              </w:rPr>
              <w:t>€21,000–€24,000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L4</w:t>
            </w:r>
          </w:p>
        </w:tc>
        <w:tc>
          <w:tcPr>
            <w:tcW w:w="5200" w:type="dxa"/>
            <w:shd w:fill="FFFFFF" w:val="clear"/>
            <w:vAlign w:val="center"/>
          </w:tcPr>
          <w:p>
            <w:pPr>
              <w:spacing w:before="20" w:after="20" w:line="252" w:lineRule="auto"/>
            </w:pPr>
            <w:r/>
            <w:r>
              <w:rPr>
                <w:rFonts w:ascii="Calibri" w:hAnsi="Calibri" w:eastAsia="Calibri"/>
                <w:b w:val="0"/>
                <w:i w:val="0"/>
                <w:color w:val="1A1A1A"/>
                <w:sz w:val="18"/>
              </w:rPr>
              <w:t>Experienced Golf Receptionist</w:t>
            </w:r>
          </w:p>
        </w:tc>
        <w:tc>
          <w:tcPr>
            <w:tcW w:w="3680" w:type="dxa"/>
            <w:shd w:fill="FFFFFF" w:val="clear"/>
            <w:vAlign w:val="center"/>
          </w:tcPr>
          <w:p>
            <w:pPr>
              <w:spacing w:before="20" w:after="20" w:line="252" w:lineRule="auto"/>
            </w:pPr>
            <w:r/>
            <w:r>
              <w:rPr>
                <w:rFonts w:ascii="Calibri" w:hAnsi="Calibri" w:eastAsia="Calibri"/>
                <w:b w:val="0"/>
                <w:i w:val="0"/>
                <w:color w:val="1A1A1A"/>
                <w:sz w:val="18"/>
              </w:rPr>
              <w:t>€21,000–€24,000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L5</w:t>
            </w:r>
          </w:p>
        </w:tc>
        <w:tc>
          <w:tcPr>
            <w:tcW w:w="5200" w:type="dxa"/>
            <w:shd w:fill="F4F7F4" w:val="clear"/>
            <w:vAlign w:val="center"/>
          </w:tcPr>
          <w:p>
            <w:pPr>
              <w:spacing w:before="20" w:after="20" w:line="252" w:lineRule="auto"/>
            </w:pPr>
            <w:r/>
            <w:r>
              <w:rPr>
                <w:rFonts w:ascii="Calibri" w:hAnsi="Calibri" w:eastAsia="Calibri"/>
                <w:b w:val="0"/>
                <w:i w:val="0"/>
                <w:color w:val="1A1A1A"/>
                <w:sz w:val="18"/>
              </w:rPr>
              <w:t>Greenkeeper</w:t>
            </w:r>
          </w:p>
        </w:tc>
        <w:tc>
          <w:tcPr>
            <w:tcW w:w="3680" w:type="dxa"/>
            <w:shd w:fill="F4F7F4" w:val="clear"/>
            <w:vAlign w:val="center"/>
          </w:tcPr>
          <w:p>
            <w:pPr>
              <w:spacing w:before="20" w:after="20" w:line="252" w:lineRule="auto"/>
            </w:pPr>
            <w:r/>
            <w:r>
              <w:rPr>
                <w:rFonts w:ascii="Calibri" w:hAnsi="Calibri" w:eastAsia="Calibri"/>
                <w:b w:val="0"/>
                <w:i w:val="0"/>
                <w:color w:val="1A1A1A"/>
                <w:sz w:val="18"/>
              </w:rPr>
              <w:t>€20,000–€24,000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L5</w:t>
            </w:r>
          </w:p>
        </w:tc>
        <w:tc>
          <w:tcPr>
            <w:tcW w:w="5200" w:type="dxa"/>
            <w:shd w:fill="FFFFFF" w:val="clear"/>
            <w:vAlign w:val="center"/>
          </w:tcPr>
          <w:p>
            <w:pPr>
              <w:spacing w:before="20" w:after="20" w:line="252" w:lineRule="auto"/>
            </w:pPr>
            <w:r/>
            <w:r>
              <w:rPr>
                <w:rFonts w:ascii="Calibri" w:hAnsi="Calibri" w:eastAsia="Calibri"/>
                <w:b w:val="0"/>
                <w:i w:val="0"/>
                <w:color w:val="1A1A1A"/>
                <w:sz w:val="18"/>
              </w:rPr>
              <w:t>Golf Marshal</w:t>
            </w:r>
          </w:p>
        </w:tc>
        <w:tc>
          <w:tcPr>
            <w:tcW w:w="3680" w:type="dxa"/>
            <w:shd w:fill="FFFFFF" w:val="clear"/>
            <w:vAlign w:val="center"/>
          </w:tcPr>
          <w:p>
            <w:pPr>
              <w:spacing w:before="20" w:after="20" w:line="252" w:lineRule="auto"/>
            </w:pPr>
            <w:r/>
            <w:r>
              <w:rPr>
                <w:rFonts w:ascii="Calibri" w:hAnsi="Calibri" w:eastAsia="Calibri"/>
                <w:b w:val="0"/>
                <w:i w:val="0"/>
                <w:color w:val="1A1A1A"/>
                <w:sz w:val="18"/>
              </w:rPr>
              <w:t>€20,000–€23,000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L5</w:t>
            </w:r>
          </w:p>
        </w:tc>
        <w:tc>
          <w:tcPr>
            <w:tcW w:w="5200" w:type="dxa"/>
            <w:shd w:fill="F4F7F4" w:val="clear"/>
            <w:vAlign w:val="center"/>
          </w:tcPr>
          <w:p>
            <w:pPr>
              <w:spacing w:before="20" w:after="20" w:line="252" w:lineRule="auto"/>
            </w:pPr>
            <w:r/>
            <w:r>
              <w:rPr>
                <w:rFonts w:ascii="Calibri" w:hAnsi="Calibri" w:eastAsia="Calibri"/>
                <w:b w:val="0"/>
                <w:i w:val="0"/>
                <w:color w:val="1A1A1A"/>
                <w:sz w:val="18"/>
              </w:rPr>
              <w:t>Administrator / Receptionist</w:t>
            </w:r>
          </w:p>
        </w:tc>
        <w:tc>
          <w:tcPr>
            <w:tcW w:w="3680" w:type="dxa"/>
            <w:shd w:fill="F4F7F4" w:val="clear"/>
            <w:vAlign w:val="center"/>
          </w:tcPr>
          <w:p>
            <w:pPr>
              <w:spacing w:before="20" w:after="20" w:line="252" w:lineRule="auto"/>
            </w:pPr>
            <w:r/>
            <w:r>
              <w:rPr>
                <w:rFonts w:ascii="Calibri" w:hAnsi="Calibri" w:eastAsia="Calibri"/>
                <w:b w:val="0"/>
                <w:i w:val="0"/>
                <w:color w:val="1A1A1A"/>
                <w:sz w:val="18"/>
              </w:rPr>
              <w:t>€20,000–€23,000</w:t>
            </w:r>
          </w:p>
        </w:tc>
      </w:tr>
      <w:tr>
        <w:trPr>
          <w:cantSplit/>
        </w:trPr>
        <w:tc>
          <w:tcPr>
            <w:tcW w:w="1200" w:type="dxa"/>
            <w:shd w:fill="FFFFFF" w:val="clear"/>
            <w:vAlign w:val="center"/>
          </w:tcPr>
          <w:p>
            <w:pPr>
              <w:spacing w:before="20" w:after="20" w:line="252" w:lineRule="auto"/>
            </w:pPr>
            <w:r/>
            <w:r>
              <w:rPr>
                <w:rFonts w:ascii="Calibri" w:hAnsi="Calibri" w:eastAsia="Calibri"/>
                <w:b w:val="0"/>
                <w:i w:val="0"/>
                <w:color w:val="1A1A1A"/>
                <w:sz w:val="18"/>
              </w:rPr>
              <w:t>L5</w:t>
            </w:r>
          </w:p>
        </w:tc>
        <w:tc>
          <w:tcPr>
            <w:tcW w:w="5200" w:type="dxa"/>
            <w:shd w:fill="FFFFFF" w:val="clear"/>
            <w:vAlign w:val="center"/>
          </w:tcPr>
          <w:p>
            <w:pPr>
              <w:spacing w:before="20" w:after="20" w:line="252" w:lineRule="auto"/>
            </w:pPr>
            <w:r/>
            <w:r>
              <w:rPr>
                <w:rFonts w:ascii="Calibri" w:hAnsi="Calibri" w:eastAsia="Calibri"/>
                <w:b w:val="0"/>
                <w:i w:val="0"/>
                <w:color w:val="1A1A1A"/>
                <w:sz w:val="18"/>
              </w:rPr>
              <w:t>Commis Chef / Kitchen Assistant</w:t>
            </w:r>
          </w:p>
        </w:tc>
        <w:tc>
          <w:tcPr>
            <w:tcW w:w="3680" w:type="dxa"/>
            <w:shd w:fill="FFFFFF" w:val="clear"/>
            <w:vAlign w:val="center"/>
          </w:tcPr>
          <w:p>
            <w:pPr>
              <w:spacing w:before="20" w:after="20" w:line="252" w:lineRule="auto"/>
            </w:pPr>
            <w:r/>
            <w:r>
              <w:rPr>
                <w:rFonts w:ascii="Calibri" w:hAnsi="Calibri" w:eastAsia="Calibri"/>
                <w:b w:val="0"/>
                <w:i w:val="0"/>
                <w:color w:val="1A1A1A"/>
                <w:sz w:val="18"/>
              </w:rPr>
              <w:t>€19,000–€22,000</w:t>
            </w:r>
          </w:p>
        </w:tc>
      </w:tr>
      <w:tr>
        <w:trPr>
          <w:cantSplit/>
        </w:trPr>
        <w:tc>
          <w:tcPr>
            <w:tcW w:w="1200" w:type="dxa"/>
            <w:shd w:fill="F4F7F4" w:val="clear"/>
            <w:vAlign w:val="center"/>
          </w:tcPr>
          <w:p>
            <w:pPr>
              <w:spacing w:before="20" w:after="20" w:line="252" w:lineRule="auto"/>
            </w:pPr>
            <w:r/>
            <w:r>
              <w:rPr>
                <w:rFonts w:ascii="Calibri" w:hAnsi="Calibri" w:eastAsia="Calibri"/>
                <w:b w:val="0"/>
                <w:i w:val="0"/>
                <w:color w:val="1A1A1A"/>
                <w:sz w:val="18"/>
              </w:rPr>
              <w:t>L5</w:t>
            </w:r>
          </w:p>
        </w:tc>
        <w:tc>
          <w:tcPr>
            <w:tcW w:w="5200" w:type="dxa"/>
            <w:shd w:fill="F4F7F4" w:val="clear"/>
            <w:vAlign w:val="center"/>
          </w:tcPr>
          <w:p>
            <w:pPr>
              <w:spacing w:before="20" w:after="20" w:line="252" w:lineRule="auto"/>
            </w:pPr>
            <w:r/>
            <w:r>
              <w:rPr>
                <w:rFonts w:ascii="Calibri" w:hAnsi="Calibri" w:eastAsia="Calibri"/>
                <w:b w:val="0"/>
                <w:i w:val="0"/>
                <w:color w:val="1A1A1A"/>
                <w:sz w:val="18"/>
              </w:rPr>
              <w:t>Waiter / Bar Service Staff</w:t>
            </w:r>
          </w:p>
        </w:tc>
        <w:tc>
          <w:tcPr>
            <w:tcW w:w="3680" w:type="dxa"/>
            <w:shd w:fill="F4F7F4" w:val="clear"/>
            <w:vAlign w:val="center"/>
          </w:tcPr>
          <w:p>
            <w:pPr>
              <w:spacing w:before="20" w:after="20" w:line="252" w:lineRule="auto"/>
            </w:pPr>
            <w:r/>
            <w:r>
              <w:rPr>
                <w:rFonts w:ascii="Calibri" w:hAnsi="Calibri" w:eastAsia="Calibri"/>
                <w:b w:val="0"/>
                <w:i w:val="0"/>
                <w:color w:val="1A1A1A"/>
                <w:sz w:val="18"/>
              </w:rPr>
              <w:t>€19,000–€22,000</w:t>
            </w:r>
          </w:p>
        </w:tc>
      </w:tr>
    </w:tbl>
    <w:p>
      <w:pPr>
        <w:pStyle w:val="Heading2"/>
        <w:spacing w:before="200" w:after="80"/>
      </w:pPr>
      <w:r>
        <w:rPr>
          <w:rFonts w:ascii="Calibri" w:hAnsi="Calibri" w:eastAsia="Calibri"/>
          <w:color w:val="1F3D32"/>
        </w:rPr>
        <w:t>2.4 What each department owns</w:t>
      </w:r>
    </w:p>
    <w:p>
      <w:pPr>
        <w:spacing w:before="160" w:after="40" w:line="269" w:lineRule="auto"/>
      </w:pPr>
      <w:r>
        <w:rPr>
          <w:rFonts w:ascii="Calibri" w:hAnsi="Calibri" w:eastAsia="Calibri"/>
          <w:b/>
          <w:i w:val="0"/>
          <w:color w:val="1F3D32"/>
          <w:sz w:val="22"/>
        </w:rPr>
        <w:t>Managing Director</w:t>
      </w:r>
    </w:p>
    <w:p>
      <w:pPr>
        <w:pStyle w:val="ListBullet"/>
        <w:spacing w:before="20" w:after="20"/>
        <w:ind w:left="567"/>
      </w:pPr>
      <w:r>
        <w:rPr>
          <w:rFonts w:ascii="Calibri" w:hAnsi="Calibri" w:eastAsia="Calibri"/>
          <w:color w:val="1A1A1A"/>
          <w:sz w:val="22"/>
        </w:rPr>
        <w:t>Deliver the approved business plan, the annual budget and overall financial performance.</w:t>
      </w:r>
    </w:p>
    <w:p>
      <w:pPr>
        <w:pStyle w:val="ListBullet"/>
        <w:spacing w:before="20" w:after="20"/>
        <w:ind w:left="567"/>
      </w:pPr>
      <w:r>
        <w:rPr>
          <w:rFonts w:ascii="Calibri" w:hAnsi="Calibri" w:eastAsia="Calibri"/>
          <w:color w:val="1A1A1A"/>
          <w:sz w:val="22"/>
        </w:rPr>
        <w:t>Lead and appraise the five managers. Set clear objectives and cover arrangements.</w:t>
      </w:r>
    </w:p>
    <w:p>
      <w:pPr>
        <w:pStyle w:val="ListBullet"/>
        <w:spacing w:before="20" w:after="20"/>
        <w:ind w:left="567"/>
      </w:pPr>
      <w:r>
        <w:rPr>
          <w:rFonts w:ascii="Calibri" w:hAnsi="Calibri" w:eastAsia="Calibri"/>
          <w:color w:val="1A1A1A"/>
          <w:sz w:val="22"/>
        </w:rPr>
        <w:t>Report to the Board. Manage material risks, compliance, reputation and stakeholder relationships.</w:t>
      </w:r>
    </w:p>
    <w:p>
      <w:pPr>
        <w:pStyle w:val="ListBullet"/>
        <w:spacing w:before="20" w:after="20"/>
        <w:ind w:left="567"/>
      </w:pPr>
      <w:r>
        <w:rPr>
          <w:rFonts w:ascii="Calibri" w:hAnsi="Calibri" w:eastAsia="Calibri"/>
          <w:color w:val="1A1A1A"/>
          <w:sz w:val="22"/>
        </w:rPr>
        <w:t>Make golf, course, restaurant and the member and visitor experience operate as one business.</w:t>
      </w:r>
    </w:p>
    <w:p>
      <w:pPr>
        <w:spacing w:before="160" w:after="40" w:line="269" w:lineRule="auto"/>
      </w:pPr>
      <w:r>
        <w:rPr>
          <w:rFonts w:ascii="Calibri" w:hAnsi="Calibri" w:eastAsia="Calibri"/>
          <w:b/>
          <w:i w:val="0"/>
          <w:color w:val="1F3D32"/>
          <w:sz w:val="22"/>
        </w:rPr>
        <w:t>Finance &amp; Administration Manager</w:t>
      </w:r>
    </w:p>
    <w:p>
      <w:pPr>
        <w:pStyle w:val="ListBullet"/>
        <w:spacing w:before="20" w:after="20"/>
        <w:ind w:left="567"/>
      </w:pPr>
      <w:r>
        <w:rPr>
          <w:rFonts w:ascii="Calibri" w:hAnsi="Calibri" w:eastAsia="Calibri"/>
          <w:color w:val="1A1A1A"/>
          <w:sz w:val="22"/>
        </w:rPr>
        <w:t>Produce monthly management accounts, forecasts, cash-flow reporting and variance explanations.</w:t>
      </w:r>
    </w:p>
    <w:p>
      <w:pPr>
        <w:pStyle w:val="ListBullet"/>
        <w:spacing w:before="20" w:after="20"/>
        <w:ind w:left="567"/>
      </w:pPr>
      <w:r>
        <w:rPr>
          <w:rFonts w:ascii="Calibri" w:hAnsi="Calibri" w:eastAsia="Calibri"/>
          <w:color w:val="1A1A1A"/>
          <w:sz w:val="22"/>
        </w:rPr>
        <w:t>Maintain financial controls, purchasing approvals, payroll coordination, invoicing and debt collection.</w:t>
      </w:r>
    </w:p>
    <w:p>
      <w:pPr>
        <w:pStyle w:val="ListBullet"/>
        <w:spacing w:before="20" w:after="20"/>
        <w:ind w:left="567"/>
      </w:pPr>
      <w:r>
        <w:rPr>
          <w:rFonts w:ascii="Calibri" w:hAnsi="Calibri" w:eastAsia="Calibri"/>
          <w:color w:val="1A1A1A"/>
          <w:sz w:val="22"/>
        </w:rPr>
        <w:t>Coordinate office administration, membership records and core business systems where those duties are assigned.</w:t>
      </w:r>
    </w:p>
    <w:p>
      <w:pPr>
        <w:pStyle w:val="ListBullet"/>
        <w:spacing w:before="20" w:after="20"/>
        <w:ind w:left="567"/>
      </w:pPr>
      <w:r>
        <w:rPr>
          <w:rFonts w:ascii="Calibri" w:hAnsi="Calibri" w:eastAsia="Calibri"/>
          <w:color w:val="1A1A1A"/>
          <w:sz w:val="22"/>
        </w:rPr>
        <w:t>Keep an accurate staff register: job title, grade, contract hours, gross salary and employer cost.</w:t>
      </w:r>
    </w:p>
    <w:p>
      <w:pPr>
        <w:spacing w:before="160" w:after="40" w:line="269" w:lineRule="auto"/>
      </w:pPr>
      <w:r>
        <w:rPr>
          <w:rFonts w:ascii="Calibri" w:hAnsi="Calibri" w:eastAsia="Calibri"/>
          <w:b/>
          <w:i w:val="0"/>
          <w:color w:val="1F3D32"/>
          <w:sz w:val="22"/>
        </w:rPr>
        <w:t>Sales &amp; Marketing Manager</w:t>
      </w:r>
    </w:p>
    <w:p>
      <w:pPr>
        <w:pStyle w:val="ListBullet"/>
        <w:spacing w:before="20" w:after="20"/>
        <w:ind w:left="567"/>
      </w:pPr>
      <w:r>
        <w:rPr>
          <w:rFonts w:ascii="Calibri" w:hAnsi="Calibri" w:eastAsia="Calibri"/>
          <w:color w:val="1A1A1A"/>
          <w:sz w:val="22"/>
        </w:rPr>
        <w:t>Build visitor demand and revenue through pricing, channels, groups, societies and partnerships.</w:t>
      </w:r>
    </w:p>
    <w:p>
      <w:pPr>
        <w:pStyle w:val="ListBullet"/>
        <w:spacing w:before="20" w:after="20"/>
        <w:ind w:left="567"/>
      </w:pPr>
      <w:r>
        <w:rPr>
          <w:rFonts w:ascii="Calibri" w:hAnsi="Calibri" w:eastAsia="Calibri"/>
          <w:color w:val="1A1A1A"/>
          <w:sz w:val="22"/>
        </w:rPr>
        <w:t>Monitor tee-time utilisation, average realised green fee, booking lead time, cancellations and no-shows, and channel cost.</w:t>
      </w:r>
    </w:p>
    <w:p>
      <w:pPr>
        <w:pStyle w:val="ListBullet"/>
        <w:spacing w:before="20" w:after="20"/>
        <w:ind w:left="567"/>
      </w:pPr>
      <w:r>
        <w:rPr>
          <w:rFonts w:ascii="Calibri" w:hAnsi="Calibri" w:eastAsia="Calibri"/>
          <w:color w:val="1A1A1A"/>
          <w:sz w:val="22"/>
        </w:rPr>
        <w:t>Plan campaigns and track results. Coordinate commercial offers with Golf Operations.</w:t>
      </w:r>
    </w:p>
    <w:p>
      <w:pPr>
        <w:pStyle w:val="ListBullet"/>
        <w:spacing w:before="20" w:after="20"/>
        <w:ind w:left="567"/>
      </w:pPr>
      <w:r>
        <w:rPr>
          <w:rFonts w:ascii="Calibri" w:hAnsi="Calibri" w:eastAsia="Calibri"/>
          <w:color w:val="1A1A1A"/>
          <w:sz w:val="22"/>
        </w:rPr>
        <w:t>Protect member value. Avoid discounting that undermines yield or the club’s position.</w:t>
      </w:r>
    </w:p>
    <w:p>
      <w:pPr>
        <w:spacing w:before="160" w:after="40" w:line="269" w:lineRule="auto"/>
      </w:pPr>
      <w:r>
        <w:rPr>
          <w:rFonts w:ascii="Calibri" w:hAnsi="Calibri" w:eastAsia="Calibri"/>
          <w:b/>
          <w:i w:val="0"/>
          <w:color w:val="1F3D32"/>
          <w:sz w:val="22"/>
        </w:rPr>
        <w:t>Golf Operations Manager</w:t>
      </w:r>
    </w:p>
    <w:p>
      <w:pPr>
        <w:pStyle w:val="ListBullet"/>
        <w:spacing w:before="20" w:after="20"/>
        <w:ind w:left="567"/>
      </w:pPr>
      <w:r>
        <w:rPr>
          <w:rFonts w:ascii="Calibri" w:hAnsi="Calibri" w:eastAsia="Calibri"/>
          <w:color w:val="1A1A1A"/>
          <w:sz w:val="22"/>
        </w:rPr>
        <w:t>Run the daily tee sheet, check-in, starter and marshal cover, pace of play and player communications.</w:t>
      </w:r>
    </w:p>
    <w:p>
      <w:pPr>
        <w:pStyle w:val="ListBullet"/>
        <w:spacing w:before="20" w:after="20"/>
        <w:ind w:left="567"/>
      </w:pPr>
      <w:r>
        <w:rPr>
          <w:rFonts w:ascii="Calibri" w:hAnsi="Calibri" w:eastAsia="Calibri"/>
          <w:color w:val="1A1A1A"/>
          <w:sz w:val="22"/>
        </w:rPr>
        <w:t>Set service standards. Manage complaints and operational incidents.</w:t>
      </w:r>
    </w:p>
    <w:p>
      <w:pPr>
        <w:pStyle w:val="ListBullet"/>
        <w:spacing w:before="20" w:after="20"/>
        <w:ind w:left="567"/>
      </w:pPr>
      <w:r>
        <w:rPr>
          <w:rFonts w:ascii="Calibri" w:hAnsi="Calibri" w:eastAsia="Calibri"/>
          <w:color w:val="1A1A1A"/>
          <w:sz w:val="22"/>
        </w:rPr>
        <w:t>Coordinate with Sales on capacity, events, course restrictions and player-flow forecasts.</w:t>
      </w:r>
    </w:p>
    <w:p>
      <w:pPr>
        <w:pStyle w:val="ListBullet"/>
        <w:spacing w:before="20" w:after="20"/>
        <w:ind w:left="567"/>
      </w:pPr>
      <w:r>
        <w:rPr>
          <w:rFonts w:ascii="Calibri" w:hAnsi="Calibri" w:eastAsia="Calibri"/>
          <w:color w:val="1A1A1A"/>
          <w:sz w:val="22"/>
        </w:rPr>
        <w:t>Monitor rounds, pace of play, customer feedback and staffing cover.</w:t>
      </w:r>
    </w:p>
    <w:p>
      <w:pPr>
        <w:spacing w:before="160" w:after="40" w:line="269" w:lineRule="auto"/>
      </w:pPr>
      <w:r>
        <w:rPr>
          <w:rFonts w:ascii="Calibri" w:hAnsi="Calibri" w:eastAsia="Calibri"/>
          <w:b/>
          <w:i w:val="0"/>
          <w:color w:val="1F3D32"/>
          <w:sz w:val="22"/>
        </w:rPr>
        <w:t>Course Manager / Head Greenkeeper</w:t>
      </w:r>
    </w:p>
    <w:p>
      <w:pPr>
        <w:pStyle w:val="ListBullet"/>
        <w:spacing w:before="20" w:after="20"/>
        <w:ind w:left="567"/>
      </w:pPr>
      <w:r>
        <w:rPr>
          <w:rFonts w:ascii="Calibri" w:hAnsi="Calibri" w:eastAsia="Calibri"/>
          <w:color w:val="1A1A1A"/>
          <w:sz w:val="22"/>
        </w:rPr>
        <w:t>Set and deliver the annual maintenance plan and the course-condition standard.</w:t>
      </w:r>
    </w:p>
    <w:p>
      <w:pPr>
        <w:pStyle w:val="ListBullet"/>
        <w:spacing w:before="20" w:after="20"/>
        <w:ind w:left="567"/>
      </w:pPr>
      <w:r>
        <w:rPr>
          <w:rFonts w:ascii="Calibri" w:hAnsi="Calibri" w:eastAsia="Calibri"/>
          <w:color w:val="1A1A1A"/>
          <w:sz w:val="22"/>
        </w:rPr>
        <w:t>Lead greenkeepers. Plan rotas, training, machinery maintenance, irrigation and water use.</w:t>
      </w:r>
    </w:p>
    <w:p>
      <w:pPr>
        <w:pStyle w:val="ListBullet"/>
        <w:spacing w:before="20" w:after="20"/>
        <w:ind w:left="567"/>
      </w:pPr>
      <w:r>
        <w:rPr>
          <w:rFonts w:ascii="Calibri" w:hAnsi="Calibri" w:eastAsia="Calibri"/>
          <w:color w:val="1A1A1A"/>
          <w:sz w:val="22"/>
        </w:rPr>
        <w:t>Manage chemical and fertiliser use, health and safety, environmental requirements and contractor work.</w:t>
      </w:r>
    </w:p>
    <w:p>
      <w:pPr>
        <w:pStyle w:val="ListBullet"/>
        <w:spacing w:before="20" w:after="20"/>
        <w:ind w:left="567"/>
      </w:pPr>
      <w:r>
        <w:rPr>
          <w:rFonts w:ascii="Calibri" w:hAnsi="Calibri" w:eastAsia="Calibri"/>
          <w:color w:val="1A1A1A"/>
          <w:sz w:val="22"/>
        </w:rPr>
        <w:t>Report maintenance spend, staffing, equipment needs and course-quality measures.</w:t>
      </w:r>
    </w:p>
    <w:p>
      <w:pPr>
        <w:spacing w:before="160" w:after="40" w:line="269" w:lineRule="auto"/>
      </w:pPr>
      <w:r>
        <w:rPr>
          <w:rFonts w:ascii="Calibri" w:hAnsi="Calibri" w:eastAsia="Calibri"/>
          <w:b/>
          <w:i w:val="0"/>
          <w:color w:val="1F3D32"/>
          <w:sz w:val="22"/>
        </w:rPr>
        <w:t>Clubhouse &amp; Restaurant Manager</w:t>
      </w:r>
    </w:p>
    <w:p>
      <w:pPr>
        <w:pStyle w:val="ListBullet"/>
        <w:spacing w:before="20" w:after="20"/>
        <w:ind w:left="567"/>
      </w:pPr>
      <w:r>
        <w:rPr>
          <w:rFonts w:ascii="Calibri" w:hAnsi="Calibri" w:eastAsia="Calibri"/>
          <w:color w:val="1A1A1A"/>
          <w:sz w:val="22"/>
        </w:rPr>
        <w:t>Own restaurant and bar service, rotas, kitchen coordination, and stock and supplier controls.</w:t>
      </w:r>
    </w:p>
    <w:p>
      <w:pPr>
        <w:pStyle w:val="ListBullet"/>
        <w:spacing w:before="20" w:after="20"/>
        <w:ind w:left="567"/>
      </w:pPr>
      <w:r>
        <w:rPr>
          <w:rFonts w:ascii="Calibri" w:hAnsi="Calibri" w:eastAsia="Calibri"/>
          <w:color w:val="1A1A1A"/>
          <w:sz w:val="22"/>
        </w:rPr>
        <w:t>Monitor revenue, covers, average spend, gross margin, food waste, labour cost and customer feedback.</w:t>
      </w:r>
    </w:p>
    <w:p>
      <w:pPr>
        <w:pStyle w:val="ListBullet"/>
        <w:spacing w:before="20" w:after="20"/>
        <w:ind w:left="567"/>
      </w:pPr>
      <w:r>
        <w:rPr>
          <w:rFonts w:ascii="Calibri" w:hAnsi="Calibri" w:eastAsia="Calibri"/>
          <w:color w:val="1A1A1A"/>
          <w:sz w:val="22"/>
        </w:rPr>
        <w:t>Maintain food hygiene, allergen procedures, licensing and the relevant safety standards.</w:t>
      </w:r>
    </w:p>
    <w:p>
      <w:pPr>
        <w:pStyle w:val="ListBullet"/>
        <w:spacing w:before="20" w:after="20"/>
        <w:ind w:left="567"/>
      </w:pPr>
      <w:r>
        <w:rPr>
          <w:rFonts w:ascii="Calibri" w:hAnsi="Calibri" w:eastAsia="Calibri"/>
          <w:color w:val="1A1A1A"/>
          <w:sz w:val="22"/>
        </w:rPr>
        <w:t>Coordinate opening hours and service with golf demand, events and member expectations.</w:t>
      </w:r>
    </w:p>
    <w:p>
      <w:pPr>
        <w:pStyle w:val="Heading2"/>
        <w:spacing w:before="200" w:after="80"/>
      </w:pPr>
      <w:r>
        <w:rPr>
          <w:rFonts w:ascii="Calibri" w:hAnsi="Calibri" w:eastAsia="Calibri"/>
          <w:color w:val="1F3D32"/>
        </w:rPr>
        <w:t>2.5 Performance measures</w:t>
      </w:r>
    </w:p>
    <w:p>
      <w:pPr>
        <w:spacing w:before="120" w:after="120" w:line="269" w:lineRule="auto"/>
      </w:pPr>
      <w:r>
        <w:rPr>
          <w:rFonts w:ascii="Calibri" w:hAnsi="Calibri" w:eastAsia="Calibri"/>
          <w:b w:val="0"/>
          <w:i w:val="0"/>
          <w:color w:val="1A1A1A"/>
          <w:sz w:val="22"/>
        </w:rPr>
        <w:t>Agree a small set with each manager. Measures should sit inside that manager’s influence. Sales targets should be balanced with realised price and the member experience, so the measure does not push the wrong behaviour.</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400"/>
        <w:gridCol w:w="7680"/>
      </w:tblGrid>
      <w:tr>
        <w:trPr>
          <w:tblHeader/>
          <w:cantSplit/>
        </w:trPr>
        <w:tc>
          <w:tcPr>
            <w:tcW w:w="2400" w:type="dxa"/>
            <w:shd w:fill="1B4D3E" w:val="clear"/>
            <w:vAlign w:val="center"/>
          </w:tcPr>
          <w:p>
            <w:pPr>
              <w:spacing w:before="20" w:after="20" w:line="252" w:lineRule="auto"/>
            </w:pPr>
            <w:r/>
            <w:r>
              <w:rPr>
                <w:rFonts w:ascii="Calibri" w:hAnsi="Calibri" w:eastAsia="Calibri"/>
                <w:b/>
                <w:i w:val="0"/>
                <w:color w:val="FFFFFF"/>
                <w:sz w:val="18"/>
              </w:rPr>
              <w:t>Area</w:t>
            </w:r>
          </w:p>
        </w:tc>
        <w:tc>
          <w:tcPr>
            <w:tcW w:w="7680" w:type="dxa"/>
            <w:shd w:fill="1B4D3E" w:val="clear"/>
            <w:vAlign w:val="center"/>
          </w:tcPr>
          <w:p>
            <w:pPr>
              <w:spacing w:before="20" w:after="20" w:line="252" w:lineRule="auto"/>
            </w:pPr>
            <w:r/>
            <w:r>
              <w:rPr>
                <w:rFonts w:ascii="Calibri" w:hAnsi="Calibri" w:eastAsia="Calibri"/>
                <w:b/>
                <w:i w:val="0"/>
                <w:color w:val="FFFFFF"/>
                <w:sz w:val="18"/>
              </w:rPr>
              <w:t>Measures to choose from</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Whole club</w:t>
            </w:r>
          </w:p>
        </w:tc>
        <w:tc>
          <w:tcPr>
            <w:tcW w:w="7680" w:type="dxa"/>
            <w:shd w:fill="FFFFFF" w:val="clear"/>
            <w:vAlign w:val="center"/>
          </w:tcPr>
          <w:p>
            <w:pPr>
              <w:spacing w:before="20" w:after="20" w:line="252" w:lineRule="auto"/>
            </w:pPr>
            <w:r/>
            <w:r>
              <w:rPr>
                <w:rFonts w:ascii="Calibri" w:hAnsi="Calibri" w:eastAsia="Calibri"/>
                <w:b w:val="0"/>
                <w:i w:val="0"/>
                <w:color w:val="1A1A1A"/>
                <w:sz w:val="18"/>
              </w:rPr>
              <w:t>Operating result; budget variance; employment cost as a percentage of turnover; customer satisfaction; staff turnover.</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Finance / Admin</w:t>
            </w:r>
          </w:p>
        </w:tc>
        <w:tc>
          <w:tcPr>
            <w:tcW w:w="7680" w:type="dxa"/>
            <w:shd w:fill="F4F7F4" w:val="clear"/>
            <w:vAlign w:val="center"/>
          </w:tcPr>
          <w:p>
            <w:pPr>
              <w:spacing w:before="20" w:after="20" w:line="252" w:lineRule="auto"/>
            </w:pPr>
            <w:r/>
            <w:r>
              <w:rPr>
                <w:rFonts w:ascii="Calibri" w:hAnsi="Calibri" w:eastAsia="Calibri"/>
                <w:b w:val="0"/>
                <w:i w:val="0"/>
                <w:color w:val="1A1A1A"/>
                <w:sz w:val="18"/>
              </w:rPr>
              <w:t>Monthly accounts on time; forecast accuracy; debtors; payroll and record accuracy; purchasing control.</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Sales / Marketing</w:t>
            </w:r>
          </w:p>
        </w:tc>
        <w:tc>
          <w:tcPr>
            <w:tcW w:w="7680" w:type="dxa"/>
            <w:shd w:fill="FFFFFF" w:val="clear"/>
            <w:vAlign w:val="center"/>
          </w:tcPr>
          <w:p>
            <w:pPr>
              <w:spacing w:before="20" w:after="20" w:line="252" w:lineRule="auto"/>
            </w:pPr>
            <w:r/>
            <w:r>
              <w:rPr>
                <w:rFonts w:ascii="Calibri" w:hAnsi="Calibri" w:eastAsia="Calibri"/>
                <w:b w:val="0"/>
                <w:i w:val="0"/>
                <w:color w:val="1A1A1A"/>
                <w:sz w:val="18"/>
              </w:rPr>
              <w:t>Visitor rounds; realised green fee; tee-time utilisation; booking lead time; channel mix and cost; group business.</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Golf operations</w:t>
            </w:r>
          </w:p>
        </w:tc>
        <w:tc>
          <w:tcPr>
            <w:tcW w:w="7680" w:type="dxa"/>
            <w:shd w:fill="F4F7F4" w:val="clear"/>
            <w:vAlign w:val="center"/>
          </w:tcPr>
          <w:p>
            <w:pPr>
              <w:spacing w:before="20" w:after="20" w:line="252" w:lineRule="auto"/>
            </w:pPr>
            <w:r/>
            <w:r>
              <w:rPr>
                <w:rFonts w:ascii="Calibri" w:hAnsi="Calibri" w:eastAsia="Calibri"/>
                <w:b w:val="0"/>
                <w:i w:val="0"/>
                <w:color w:val="1A1A1A"/>
                <w:sz w:val="18"/>
              </w:rPr>
              <w:t>Pace of play; marshal cover; complaints; check-in and service quality; operational incidents.</w:t>
            </w:r>
          </w:p>
        </w:tc>
      </w:tr>
      <w:tr>
        <w:trPr>
          <w:cantSplit/>
        </w:trPr>
        <w:tc>
          <w:tcPr>
            <w:tcW w:w="2400" w:type="dxa"/>
            <w:shd w:fill="FFFFFF" w:val="clear"/>
            <w:vAlign w:val="center"/>
          </w:tcPr>
          <w:p>
            <w:pPr>
              <w:spacing w:before="20" w:after="20" w:line="252" w:lineRule="auto"/>
            </w:pPr>
            <w:r/>
            <w:r>
              <w:rPr>
                <w:rFonts w:ascii="Calibri" w:hAnsi="Calibri" w:eastAsia="Calibri"/>
                <w:b w:val="0"/>
                <w:i w:val="0"/>
                <w:color w:val="1A1A1A"/>
                <w:sz w:val="18"/>
              </w:rPr>
              <w:t>Course</w:t>
            </w:r>
          </w:p>
        </w:tc>
        <w:tc>
          <w:tcPr>
            <w:tcW w:w="7680" w:type="dxa"/>
            <w:shd w:fill="FFFFFF" w:val="clear"/>
            <w:vAlign w:val="center"/>
          </w:tcPr>
          <w:p>
            <w:pPr>
              <w:spacing w:before="20" w:after="20" w:line="252" w:lineRule="auto"/>
            </w:pPr>
            <w:r/>
            <w:r>
              <w:rPr>
                <w:rFonts w:ascii="Calibri" w:hAnsi="Calibri" w:eastAsia="Calibri"/>
                <w:b w:val="0"/>
                <w:i w:val="0"/>
                <w:color w:val="1A1A1A"/>
                <w:sz w:val="18"/>
              </w:rPr>
              <w:t>Course-condition audit; maintenance-plan completion; water and chemical use; equipment downtime; safety.</w:t>
            </w:r>
          </w:p>
        </w:tc>
      </w:tr>
      <w:tr>
        <w:trPr>
          <w:cantSplit/>
        </w:trPr>
        <w:tc>
          <w:tcPr>
            <w:tcW w:w="2400" w:type="dxa"/>
            <w:shd w:fill="F4F7F4" w:val="clear"/>
            <w:vAlign w:val="center"/>
          </w:tcPr>
          <w:p>
            <w:pPr>
              <w:spacing w:before="20" w:after="20" w:line="252" w:lineRule="auto"/>
            </w:pPr>
            <w:r/>
            <w:r>
              <w:rPr>
                <w:rFonts w:ascii="Calibri" w:hAnsi="Calibri" w:eastAsia="Calibri"/>
                <w:b w:val="0"/>
                <w:i w:val="0"/>
                <w:color w:val="1A1A1A"/>
                <w:sz w:val="18"/>
              </w:rPr>
              <w:t>Restaurant</w:t>
            </w:r>
          </w:p>
        </w:tc>
        <w:tc>
          <w:tcPr>
            <w:tcW w:w="7680" w:type="dxa"/>
            <w:shd w:fill="F4F7F4" w:val="clear"/>
            <w:vAlign w:val="center"/>
          </w:tcPr>
          <w:p>
            <w:pPr>
              <w:spacing w:before="20" w:after="20" w:line="252" w:lineRule="auto"/>
            </w:pPr>
            <w:r/>
            <w:r>
              <w:rPr>
                <w:rFonts w:ascii="Calibri" w:hAnsi="Calibri" w:eastAsia="Calibri"/>
                <w:b w:val="0"/>
                <w:i w:val="0"/>
                <w:color w:val="1A1A1A"/>
                <w:sz w:val="18"/>
              </w:rPr>
              <w:t>Sales and covers; average spend; gross margin; labour cost; food waste; hygiene compliance; guest feedback.</w:t>
            </w:r>
          </w:p>
        </w:tc>
      </w:tr>
    </w:tbl>
    <w:p>
      <w:pPr>
        <w:pStyle w:val="Heading2"/>
        <w:spacing w:before="200" w:after="80"/>
      </w:pPr>
      <w:r>
        <w:rPr>
          <w:rFonts w:ascii="Calibri" w:hAnsi="Calibri" w:eastAsia="Calibri"/>
          <w:color w:val="1F3D32"/>
        </w:rPr>
        <w:t>2.6 Remuneration committee</w:t>
      </w:r>
    </w:p>
    <w:p>
      <w:pPr>
        <w:spacing w:before="120" w:after="120" w:line="269" w:lineRule="auto"/>
      </w:pPr>
      <w:r>
        <w:rPr>
          <w:rFonts w:ascii="Calibri" w:hAnsi="Calibri" w:eastAsia="Calibri"/>
          <w:b w:val="0"/>
          <w:i w:val="0"/>
          <w:color w:val="1A1A1A"/>
          <w:sz w:val="22"/>
        </w:rPr>
        <w:t>The Board note proposes a committee covering EPGH and both operating businesses. Confirm the legal names and who sits on it. This table is a proposal.</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1800"/>
        <w:gridCol w:w="3800"/>
        <w:gridCol w:w="4480"/>
      </w:tblGrid>
      <w:tr>
        <w:trPr>
          <w:tblHeader/>
          <w:cantSplit/>
        </w:trPr>
        <w:tc>
          <w:tcPr>
            <w:tcW w:w="1800" w:type="dxa"/>
            <w:shd w:fill="1B4D3E" w:val="clear"/>
            <w:vAlign w:val="center"/>
          </w:tcPr>
          <w:p>
            <w:pPr>
              <w:spacing w:before="20" w:after="20" w:line="252" w:lineRule="auto"/>
            </w:pPr>
            <w:r/>
            <w:r>
              <w:rPr>
                <w:rFonts w:ascii="Calibri" w:hAnsi="Calibri" w:eastAsia="Calibri"/>
                <w:b/>
                <w:i w:val="0"/>
                <w:color w:val="FFFFFF"/>
                <w:sz w:val="18"/>
              </w:rPr>
              <w:t>Seat</w:t>
            </w:r>
          </w:p>
        </w:tc>
        <w:tc>
          <w:tcPr>
            <w:tcW w:w="3800" w:type="dxa"/>
            <w:shd w:fill="1B4D3E" w:val="clear"/>
            <w:vAlign w:val="center"/>
          </w:tcPr>
          <w:p>
            <w:pPr>
              <w:spacing w:before="20" w:after="20" w:line="252" w:lineRule="auto"/>
            </w:pPr>
            <w:r/>
            <w:r>
              <w:rPr>
                <w:rFonts w:ascii="Calibri" w:hAnsi="Calibri" w:eastAsia="Calibri"/>
                <w:b/>
                <w:i w:val="0"/>
                <w:color w:val="FFFFFF"/>
                <w:sz w:val="18"/>
              </w:rPr>
              <w:t>Proposal</w:t>
            </w:r>
          </w:p>
        </w:tc>
        <w:tc>
          <w:tcPr>
            <w:tcW w:w="4480" w:type="dxa"/>
            <w:shd w:fill="1B4D3E" w:val="clear"/>
            <w:vAlign w:val="center"/>
          </w:tcPr>
          <w:p>
            <w:pPr>
              <w:spacing w:before="20" w:after="20" w:line="252" w:lineRule="auto"/>
            </w:pPr>
            <w:r/>
            <w:r>
              <w:rPr>
                <w:rFonts w:ascii="Calibri" w:hAnsi="Calibri" w:eastAsia="Calibri"/>
                <w:b/>
                <w:i w:val="0"/>
                <w:color w:val="FFFFFF"/>
                <w:sz w:val="18"/>
              </w:rPr>
              <w:t>Still to confirm</w:t>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8"/>
              </w:rPr>
              <w:t>Chair</w:t>
            </w:r>
          </w:p>
        </w:tc>
        <w:tc>
          <w:tcPr>
            <w:tcW w:w="3800" w:type="dxa"/>
            <w:shd w:fill="FFFFFF" w:val="clear"/>
            <w:vAlign w:val="center"/>
          </w:tcPr>
          <w:p>
            <w:pPr>
              <w:spacing w:before="20" w:after="20" w:line="252" w:lineRule="auto"/>
            </w:pPr>
            <w:r/>
            <w:r>
              <w:rPr>
                <w:rFonts w:ascii="Calibri" w:hAnsi="Calibri" w:eastAsia="Calibri"/>
                <w:b w:val="0"/>
                <w:i w:val="0"/>
                <w:color w:val="1A1A1A"/>
                <w:sz w:val="18"/>
              </w:rPr>
              <w:t>To be appointed</w:t>
            </w:r>
          </w:p>
        </w:tc>
        <w:tc>
          <w:tcPr>
            <w:tcW w:w="4480" w:type="dxa"/>
            <w:shd w:fill="FFFFFF" w:val="clear"/>
            <w:vAlign w:val="center"/>
          </w:tcPr>
          <w:p>
            <w:pPr>
              <w:spacing w:before="20" w:after="20" w:line="252" w:lineRule="auto"/>
            </w:pPr>
            <w:r/>
            <w:r>
              <w:rPr>
                <w:rFonts w:ascii="Calibri" w:hAnsi="Calibri" w:eastAsia="Calibri"/>
                <w:b w:val="0"/>
                <w:i w:val="0"/>
                <w:color w:val="1A1A1A"/>
                <w:sz w:val="18"/>
              </w:rPr>
              <w:t>The note leaves the chair open.</w:t>
            </w:r>
          </w:p>
        </w:tc>
      </w:tr>
      <w:tr>
        <w:trPr>
          <w:cantSplit/>
        </w:trPr>
        <w:tc>
          <w:tcPr>
            <w:tcW w:w="1800" w:type="dxa"/>
            <w:shd w:fill="F4F7F4" w:val="clear"/>
            <w:vAlign w:val="center"/>
          </w:tcPr>
          <w:p>
            <w:pPr>
              <w:spacing w:before="20" w:after="20" w:line="252" w:lineRule="auto"/>
            </w:pPr>
            <w:r/>
            <w:r>
              <w:rPr>
                <w:rFonts w:ascii="Calibri" w:hAnsi="Calibri" w:eastAsia="Calibri"/>
                <w:b w:val="0"/>
                <w:i w:val="0"/>
                <w:color w:val="1A1A1A"/>
                <w:sz w:val="18"/>
              </w:rPr>
              <w:t>Directors</w:t>
            </w:r>
          </w:p>
        </w:tc>
        <w:tc>
          <w:tcPr>
            <w:tcW w:w="3800" w:type="dxa"/>
            <w:shd w:fill="F4F7F4" w:val="clear"/>
            <w:vAlign w:val="center"/>
          </w:tcPr>
          <w:p>
            <w:pPr>
              <w:spacing w:before="20" w:after="20" w:line="252" w:lineRule="auto"/>
            </w:pPr>
            <w:r/>
            <w:r>
              <w:rPr>
                <w:rFonts w:ascii="Calibri" w:hAnsi="Calibri" w:eastAsia="Calibri"/>
                <w:b w:val="0"/>
                <w:i w:val="0"/>
                <w:color w:val="1A1A1A"/>
                <w:sz w:val="18"/>
              </w:rPr>
              <w:t>Two Directors</w:t>
            </w:r>
          </w:p>
        </w:tc>
        <w:tc>
          <w:tcPr>
            <w:tcW w:w="4480" w:type="dxa"/>
            <w:shd w:fill="F4F7F4" w:val="clear"/>
            <w:vAlign w:val="center"/>
          </w:tcPr>
          <w:p>
            <w:pPr>
              <w:spacing w:before="20" w:after="20" w:line="252" w:lineRule="auto"/>
            </w:pPr>
            <w:r/>
            <w:r>
              <w:rPr>
                <w:rFonts w:ascii="Calibri" w:hAnsi="Calibri" w:eastAsia="Calibri"/>
                <w:b w:val="0"/>
                <w:i w:val="0"/>
                <w:color w:val="1A1A1A"/>
                <w:sz w:val="18"/>
              </w:rPr>
              <w:t>Which Directors, and whether they are independent of day-to-day management.</w:t>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8"/>
              </w:rPr>
              <w:t>Management</w:t>
            </w:r>
          </w:p>
        </w:tc>
        <w:tc>
          <w:tcPr>
            <w:tcW w:w="3800" w:type="dxa"/>
            <w:shd w:fill="FFFFFF" w:val="clear"/>
            <w:vAlign w:val="center"/>
          </w:tcPr>
          <w:p>
            <w:pPr>
              <w:spacing w:before="20" w:after="20" w:line="252" w:lineRule="auto"/>
            </w:pPr>
            <w:r/>
            <w:r>
              <w:rPr>
                <w:rFonts w:ascii="Calibri" w:hAnsi="Calibri" w:eastAsia="Calibri"/>
                <w:b w:val="0"/>
                <w:i w:val="0"/>
                <w:color w:val="1A1A1A"/>
                <w:sz w:val="18"/>
              </w:rPr>
              <w:t>Managing Director and Finance Manager</w:t>
            </w:r>
          </w:p>
        </w:tc>
        <w:tc>
          <w:tcPr>
            <w:tcW w:w="4480" w:type="dxa"/>
            <w:shd w:fill="FFFFFF" w:val="clear"/>
            <w:vAlign w:val="center"/>
          </w:tcPr>
          <w:p>
            <w:pPr>
              <w:spacing w:before="20" w:after="20" w:line="252" w:lineRule="auto"/>
            </w:pPr>
            <w:r/>
            <w:r>
              <w:rPr>
                <w:rFonts w:ascii="Calibri" w:hAnsi="Calibri" w:eastAsia="Calibri"/>
                <w:b w:val="0"/>
                <w:i w:val="0"/>
                <w:color w:val="1A1A1A"/>
                <w:sz w:val="18"/>
              </w:rPr>
              <w:t>Whether both sit as members, or one of them.</w:t>
            </w:r>
          </w:p>
        </w:tc>
      </w:tr>
      <w:tr>
        <w:trPr>
          <w:cantSplit/>
        </w:trPr>
        <w:tc>
          <w:tcPr>
            <w:tcW w:w="1800" w:type="dxa"/>
            <w:shd w:fill="F4F7F4" w:val="clear"/>
            <w:vAlign w:val="center"/>
          </w:tcPr>
          <w:p>
            <w:pPr>
              <w:spacing w:before="20" w:after="20" w:line="252" w:lineRule="auto"/>
            </w:pPr>
            <w:r/>
            <w:r>
              <w:rPr>
                <w:rFonts w:ascii="Calibri" w:hAnsi="Calibri" w:eastAsia="Calibri"/>
                <w:b w:val="0"/>
                <w:i w:val="0"/>
                <w:color w:val="1A1A1A"/>
                <w:sz w:val="18"/>
              </w:rPr>
              <w:t>Advice</w:t>
            </w:r>
          </w:p>
        </w:tc>
        <w:tc>
          <w:tcPr>
            <w:tcW w:w="3800" w:type="dxa"/>
            <w:shd w:fill="F4F7F4" w:val="clear"/>
            <w:vAlign w:val="center"/>
          </w:tcPr>
          <w:p>
            <w:pPr>
              <w:spacing w:before="20" w:after="20" w:line="252" w:lineRule="auto"/>
            </w:pPr>
            <w:r/>
            <w:r>
              <w:rPr>
                <w:rFonts w:ascii="Calibri" w:hAnsi="Calibri" w:eastAsia="Calibri"/>
                <w:b w:val="0"/>
                <w:i w:val="0"/>
                <w:color w:val="1A1A1A"/>
                <w:sz w:val="18"/>
              </w:rPr>
              <w:t>The club’s Spanish labour consultant</w:t>
            </w:r>
          </w:p>
        </w:tc>
        <w:tc>
          <w:tcPr>
            <w:tcW w:w="4480" w:type="dxa"/>
            <w:shd w:fill="F4F7F4" w:val="clear"/>
            <w:vAlign w:val="center"/>
          </w:tcPr>
          <w:p>
            <w:pPr>
              <w:spacing w:before="20" w:after="20" w:line="252" w:lineRule="auto"/>
            </w:pPr>
            <w:r/>
            <w:r>
              <w:rPr>
                <w:rFonts w:ascii="Calibri" w:hAnsi="Calibri" w:eastAsia="Calibri"/>
                <w:b w:val="0"/>
                <w:i w:val="0"/>
                <w:color w:val="1A1A1A"/>
                <w:sz w:val="18"/>
              </w:rPr>
              <w:t>Technical input on the labour market and employment law. Not a voting role unless the Board decides otherwise.</w:t>
            </w:r>
          </w:p>
        </w:tc>
      </w:tr>
    </w:tbl>
    <w:p>
      <w:pPr>
        <w:spacing w:before="160" w:after="40" w:line="269" w:lineRule="auto"/>
      </w:pPr>
      <w:r>
        <w:rPr>
          <w:rFonts w:ascii="Calibri" w:hAnsi="Calibri" w:eastAsia="Calibri"/>
          <w:b w:val="0"/>
          <w:i w:val="0"/>
          <w:color w:val="1A1A1A"/>
          <w:sz w:val="22"/>
        </w:rPr>
        <w:t>Proposed role of the committee:</w:t>
      </w:r>
    </w:p>
    <w:p>
      <w:pPr>
        <w:pStyle w:val="ListBullet"/>
        <w:spacing w:before="20" w:after="20"/>
        <w:ind w:left="567"/>
      </w:pPr>
      <w:r>
        <w:rPr>
          <w:rFonts w:ascii="Calibri" w:hAnsi="Calibri" w:eastAsia="Calibri"/>
          <w:color w:val="1A1A1A"/>
          <w:sz w:val="22"/>
        </w:rPr>
        <w:t>Produce a remuneration structure for EPGH covering the golf club and the restaurant.</w:t>
      </w:r>
    </w:p>
    <w:p>
      <w:pPr>
        <w:pStyle w:val="ListBullet"/>
        <w:spacing w:before="20" w:after="20"/>
        <w:ind w:left="567"/>
      </w:pPr>
      <w:r>
        <w:rPr>
          <w:rFonts w:ascii="Calibri" w:hAnsi="Calibri" w:eastAsia="Calibri"/>
          <w:color w:val="1A1A1A"/>
          <w:sz w:val="22"/>
        </w:rPr>
        <w:t>Recommend to the Board the annual increases and reward packages for senior personnel.</w:t>
      </w:r>
    </w:p>
    <w:p>
      <w:pPr>
        <w:pStyle w:val="ListBullet"/>
        <w:spacing w:before="20" w:after="20"/>
        <w:ind w:left="567"/>
      </w:pPr>
      <w:r>
        <w:rPr>
          <w:rFonts w:ascii="Calibri" w:hAnsi="Calibri" w:eastAsia="Calibri"/>
          <w:color w:val="1A1A1A"/>
          <w:sz w:val="22"/>
        </w:rPr>
        <w:t>Use the grading, salary-band and cost work in this plan as the evidence, once current pay and headcount are filled in.</w:t>
      </w:r>
    </w:p>
    <w:p>
      <w:pPr>
        <w:pStyle w:val="Heading2"/>
        <w:spacing w:before="200" w:after="80"/>
      </w:pPr>
      <w:r>
        <w:rPr>
          <w:rFonts w:ascii="Calibri" w:hAnsi="Calibri" w:eastAsia="Calibri"/>
          <w:color w:val="1F3D32"/>
        </w:rPr>
        <w:t>2.7 Design principles</w:t>
      </w:r>
    </w:p>
    <w:p>
      <w:pPr>
        <w:spacing w:before="120" w:after="120" w:line="269" w:lineRule="auto"/>
      </w:pPr>
      <w:r>
        <w:rPr>
          <w:rFonts w:ascii="Calibri" w:hAnsi="Calibri" w:eastAsia="Calibri"/>
          <w:b w:val="0"/>
          <w:i w:val="0"/>
          <w:color w:val="1A1A1A"/>
          <w:sz w:val="22"/>
        </w:rPr>
        <w:t>Five principles taken from a UK golf-club remuneration framework (referred to in the note as GGCS). They describe the target. The note’s assessment of where the club stands today is in Part 3, not here.</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1800"/>
        <w:gridCol w:w="3800"/>
        <w:gridCol w:w="4480"/>
      </w:tblGrid>
      <w:tr>
        <w:trPr>
          <w:tblHeader/>
          <w:cantSplit/>
        </w:trPr>
        <w:tc>
          <w:tcPr>
            <w:tcW w:w="1800" w:type="dxa"/>
            <w:shd w:fill="1B4D3E" w:val="clear"/>
            <w:vAlign w:val="center"/>
          </w:tcPr>
          <w:p>
            <w:pPr>
              <w:spacing w:before="20" w:after="20" w:line="252" w:lineRule="auto"/>
            </w:pPr>
            <w:r/>
            <w:r>
              <w:rPr>
                <w:rFonts w:ascii="Calibri" w:hAnsi="Calibri" w:eastAsia="Calibri"/>
                <w:b/>
                <w:i w:val="0"/>
                <w:color w:val="FFFFFF"/>
                <w:sz w:val="17"/>
              </w:rPr>
              <w:t>Principle</w:t>
            </w:r>
          </w:p>
        </w:tc>
        <w:tc>
          <w:tcPr>
            <w:tcW w:w="3800" w:type="dxa"/>
            <w:shd w:fill="1B4D3E" w:val="clear"/>
            <w:vAlign w:val="center"/>
          </w:tcPr>
          <w:p>
            <w:pPr>
              <w:spacing w:before="20" w:after="20" w:line="252" w:lineRule="auto"/>
            </w:pPr>
            <w:r/>
            <w:r>
              <w:rPr>
                <w:rFonts w:ascii="Calibri" w:hAnsi="Calibri" w:eastAsia="Calibri"/>
                <w:b/>
                <w:i w:val="0"/>
                <w:color w:val="FFFFFF"/>
                <w:sz w:val="17"/>
              </w:rPr>
              <w:t>What it means here</w:t>
            </w:r>
          </w:p>
        </w:tc>
        <w:tc>
          <w:tcPr>
            <w:tcW w:w="4480" w:type="dxa"/>
            <w:shd w:fill="1B4D3E" w:val="clear"/>
            <w:vAlign w:val="center"/>
          </w:tcPr>
          <w:p>
            <w:pPr>
              <w:spacing w:before="20" w:after="20" w:line="252" w:lineRule="auto"/>
            </w:pPr>
            <w:r/>
            <w:r>
              <w:rPr>
                <w:rFonts w:ascii="Calibri" w:hAnsi="Calibri" w:eastAsia="Calibri"/>
                <w:b/>
                <w:i w:val="0"/>
                <w:color w:val="FFFFFF"/>
                <w:sz w:val="17"/>
              </w:rPr>
              <w:t>Decision still required</w:t>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7"/>
              </w:rPr>
              <w:t>1. Transparency</w:t>
            </w:r>
          </w:p>
        </w:tc>
        <w:tc>
          <w:tcPr>
            <w:tcW w:w="3800" w:type="dxa"/>
            <w:shd w:fill="FFFFFF" w:val="clear"/>
            <w:vAlign w:val="center"/>
          </w:tcPr>
          <w:p>
            <w:pPr>
              <w:spacing w:before="20" w:after="20" w:line="252" w:lineRule="auto"/>
            </w:pPr>
            <w:r/>
            <w:r>
              <w:rPr>
                <w:rFonts w:ascii="Calibri" w:hAnsi="Calibri" w:eastAsia="Calibri"/>
                <w:b w:val="0"/>
                <w:i w:val="0"/>
                <w:color w:val="1A1A1A"/>
                <w:sz w:val="17"/>
              </w:rPr>
              <w:t>Be open about how salaries are set.</w:t>
            </w:r>
          </w:p>
        </w:tc>
        <w:tc>
          <w:tcPr>
            <w:tcW w:w="4480" w:type="dxa"/>
            <w:shd w:fill="FFFFFF" w:val="clear"/>
            <w:vAlign w:val="center"/>
          </w:tcPr>
          <w:p>
            <w:pPr>
              <w:spacing w:before="20" w:after="20" w:line="252" w:lineRule="auto"/>
            </w:pPr>
            <w:r/>
            <w:r>
              <w:rPr>
                <w:rFonts w:ascii="Calibri" w:hAnsi="Calibri" w:eastAsia="Calibri"/>
                <w:b w:val="0"/>
                <w:i w:val="0"/>
                <w:color w:val="1A1A1A"/>
                <w:sz w:val="17"/>
              </w:rPr>
              <w:t>How far to go: a structure for each department, grades, the salary and benefits in each grade, and a clear link between performance and the annual review.</w:t>
            </w:r>
          </w:p>
        </w:tc>
      </w:tr>
      <w:tr>
        <w:trPr>
          <w:cantSplit/>
        </w:trPr>
        <w:tc>
          <w:tcPr>
            <w:tcW w:w="1800" w:type="dxa"/>
            <w:shd w:fill="F4F7F4" w:val="clear"/>
            <w:vAlign w:val="center"/>
          </w:tcPr>
          <w:p>
            <w:pPr>
              <w:spacing w:before="20" w:after="20" w:line="252" w:lineRule="auto"/>
            </w:pPr>
            <w:r/>
            <w:r>
              <w:rPr>
                <w:rFonts w:ascii="Calibri" w:hAnsi="Calibri" w:eastAsia="Calibri"/>
                <w:b w:val="0"/>
                <w:i w:val="0"/>
                <w:color w:val="1A1A1A"/>
                <w:sz w:val="17"/>
              </w:rPr>
              <w:t>2. Proportionality</w:t>
            </w:r>
          </w:p>
        </w:tc>
        <w:tc>
          <w:tcPr>
            <w:tcW w:w="3800" w:type="dxa"/>
            <w:shd w:fill="F4F7F4" w:val="clear"/>
            <w:vAlign w:val="center"/>
          </w:tcPr>
          <w:p>
            <w:pPr>
              <w:spacing w:before="20" w:after="20" w:line="252" w:lineRule="auto"/>
            </w:pPr>
            <w:r/>
            <w:r>
              <w:rPr>
                <w:rFonts w:ascii="Calibri" w:hAnsi="Calibri" w:eastAsia="Calibri"/>
                <w:b w:val="0"/>
                <w:i w:val="0"/>
                <w:color w:val="1A1A1A"/>
                <w:sz w:val="17"/>
              </w:rPr>
              <w:t>Pay that is fair and consistent, at mid-level as well as at the top.</w:t>
            </w:r>
          </w:p>
        </w:tc>
        <w:tc>
          <w:tcPr>
            <w:tcW w:w="4480" w:type="dxa"/>
            <w:shd w:fill="F4F7F4" w:val="clear"/>
            <w:vAlign w:val="center"/>
          </w:tcPr>
          <w:p>
            <w:pPr>
              <w:spacing w:before="20" w:after="20" w:line="252" w:lineRule="auto"/>
            </w:pPr>
            <w:r/>
            <w:r>
              <w:rPr>
                <w:rFonts w:ascii="Calibri" w:hAnsi="Calibri" w:eastAsia="Calibri"/>
                <w:b w:val="0"/>
                <w:i w:val="0"/>
                <w:color w:val="1A1A1A"/>
                <w:sz w:val="17"/>
              </w:rPr>
              <w:t>Choose a position: a quartile against a relevant market, or a stated percentage above the national minimum. Apply it with the same rules throughout.</w:t>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7"/>
              </w:rPr>
              <w:t>3. Financial viability</w:t>
            </w:r>
          </w:p>
        </w:tc>
        <w:tc>
          <w:tcPr>
            <w:tcW w:w="3800" w:type="dxa"/>
            <w:shd w:fill="FFFFFF" w:val="clear"/>
            <w:vAlign w:val="center"/>
          </w:tcPr>
          <w:p>
            <w:pPr>
              <w:spacing w:before="20" w:after="20" w:line="252" w:lineRule="auto"/>
            </w:pPr>
            <w:r/>
            <w:r>
              <w:rPr>
                <w:rFonts w:ascii="Calibri" w:hAnsi="Calibri" w:eastAsia="Calibri"/>
                <w:b w:val="0"/>
                <w:i w:val="0"/>
                <w:color w:val="1A1A1A"/>
                <w:sz w:val="17"/>
              </w:rPr>
              <w:t>Salaries must work for the club and for the shareholders. This is a Board decision.</w:t>
            </w:r>
          </w:p>
        </w:tc>
        <w:tc>
          <w:tcPr>
            <w:tcW w:w="4480" w:type="dxa"/>
            <w:shd w:fill="FFFFFF" w:val="clear"/>
            <w:vAlign w:val="center"/>
          </w:tcPr>
          <w:p>
            <w:pPr>
              <w:spacing w:before="20" w:after="20" w:line="252" w:lineRule="auto"/>
            </w:pPr>
            <w:r/>
            <w:r>
              <w:rPr>
                <w:rFonts w:ascii="Calibri" w:hAnsi="Calibri" w:eastAsia="Calibri"/>
                <w:b w:val="0"/>
                <w:i w:val="0"/>
                <w:color w:val="1A1A1A"/>
                <w:sz w:val="17"/>
              </w:rPr>
              <w:t>Whether pay is a mix of fixed and variable and, if so, at what level. Keep total salaries inside an agreed percentage of turnover, stated separately for EPGC and EPGCR.</w:t>
            </w:r>
          </w:p>
        </w:tc>
      </w:tr>
      <w:tr>
        <w:trPr>
          <w:cantSplit/>
        </w:trPr>
        <w:tc>
          <w:tcPr>
            <w:tcW w:w="1800" w:type="dxa"/>
            <w:shd w:fill="F4F7F4" w:val="clear"/>
            <w:vAlign w:val="center"/>
          </w:tcPr>
          <w:p>
            <w:pPr>
              <w:spacing w:before="20" w:after="20" w:line="252" w:lineRule="auto"/>
            </w:pPr>
            <w:r/>
            <w:r>
              <w:rPr>
                <w:rFonts w:ascii="Calibri" w:hAnsi="Calibri" w:eastAsia="Calibri"/>
                <w:b w:val="0"/>
                <w:i w:val="0"/>
                <w:color w:val="1A1A1A"/>
                <w:sz w:val="17"/>
              </w:rPr>
              <w:t>4. Recruitment and retention</w:t>
            </w:r>
          </w:p>
        </w:tc>
        <w:tc>
          <w:tcPr>
            <w:tcW w:w="3800" w:type="dxa"/>
            <w:shd w:fill="F4F7F4" w:val="clear"/>
            <w:vAlign w:val="center"/>
          </w:tcPr>
          <w:p>
            <w:pPr>
              <w:spacing w:before="20" w:after="20" w:line="252" w:lineRule="auto"/>
            </w:pPr>
            <w:r/>
            <w:r>
              <w:rPr>
                <w:rFonts w:ascii="Calibri" w:hAnsi="Calibri" w:eastAsia="Calibri"/>
                <w:b w:val="0"/>
                <w:i w:val="0"/>
                <w:color w:val="1A1A1A"/>
                <w:sz w:val="17"/>
              </w:rPr>
              <w:t>Keep valued people by investing in their development.</w:t>
            </w:r>
          </w:p>
        </w:tc>
        <w:tc>
          <w:tcPr>
            <w:tcW w:w="4480" w:type="dxa"/>
            <w:shd w:fill="F4F7F4" w:val="clear"/>
            <w:vAlign w:val="center"/>
          </w:tcPr>
          <w:p>
            <w:pPr>
              <w:spacing w:before="20" w:after="20" w:line="252" w:lineRule="auto"/>
            </w:pPr>
            <w:r/>
            <w:r>
              <w:rPr>
                <w:rFonts w:ascii="Calibri" w:hAnsi="Calibri" w:eastAsia="Calibri"/>
                <w:b w:val="0"/>
                <w:i w:val="0"/>
                <w:color w:val="1A1A1A"/>
                <w:sz w:val="17"/>
              </w:rPr>
              <w:t>Whether development is for a core team or for all staff.</w:t>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7"/>
              </w:rPr>
              <w:t>5. Process</w:t>
            </w:r>
          </w:p>
        </w:tc>
        <w:tc>
          <w:tcPr>
            <w:tcW w:w="3800" w:type="dxa"/>
            <w:shd w:fill="FFFFFF" w:val="clear"/>
            <w:vAlign w:val="center"/>
          </w:tcPr>
          <w:p>
            <w:pPr>
              <w:spacing w:before="20" w:after="20" w:line="252" w:lineRule="auto"/>
            </w:pPr>
            <w:r/>
            <w:r>
              <w:rPr>
                <w:rFonts w:ascii="Calibri" w:hAnsi="Calibri" w:eastAsia="Calibri"/>
                <w:b w:val="0"/>
                <w:i w:val="0"/>
                <w:color w:val="1A1A1A"/>
                <w:sz w:val="17"/>
              </w:rPr>
              <w:t>Fair pay needs procedures, not only good intentions. Light enough that it is actually used.</w:t>
            </w:r>
          </w:p>
        </w:tc>
        <w:tc>
          <w:tcPr>
            <w:tcW w:w="4480" w:type="dxa"/>
            <w:shd w:fill="FFFFFF" w:val="clear"/>
            <w:vAlign w:val="center"/>
          </w:tcPr>
          <w:p>
            <w:pPr>
              <w:spacing w:before="20" w:after="20" w:line="252" w:lineRule="auto"/>
            </w:pPr>
            <w:r/>
            <w:r>
              <w:rPr>
                <w:rFonts w:ascii="Calibri" w:hAnsi="Calibri" w:eastAsia="Calibri"/>
                <w:b w:val="0"/>
                <w:i w:val="0"/>
                <w:color w:val="1A1A1A"/>
                <w:sz w:val="17"/>
              </w:rPr>
              <w:t>Write the structure down so standards stay the same when managers change.</w:t>
            </w:r>
          </w:p>
        </w:tc>
      </w:tr>
    </w:tbl>
    <w:p>
      <w:pPr>
        <w:pStyle w:val="Heading2"/>
        <w:spacing w:before="200" w:after="80"/>
      </w:pPr>
      <w:r>
        <w:rPr>
          <w:rFonts w:ascii="Calibri" w:hAnsi="Calibri" w:eastAsia="Calibri"/>
          <w:color w:val="1F3D32"/>
        </w:rPr>
        <w:t>2.8 Development the structure should support</w:t>
      </w:r>
    </w:p>
    <w:p>
      <w:pPr>
        <w:spacing w:before="120" w:after="120" w:line="269" w:lineRule="auto"/>
      </w:pPr>
      <w:r>
        <w:rPr>
          <w:rFonts w:ascii="Calibri" w:hAnsi="Calibri" w:eastAsia="Calibri"/>
          <w:b w:val="0"/>
          <w:i w:val="0"/>
          <w:color w:val="1A1A1A"/>
          <w:sz w:val="22"/>
        </w:rPr>
        <w:t>The club is a members’ club with a strong commercial business. That needs different skills from a purely private members’ operation. The note sees a practical opening, and possibly a necessity, for an apprenticeship and staff-development programme:</w:t>
      </w:r>
    </w:p>
    <w:p>
      <w:pPr>
        <w:pStyle w:val="ListBullet"/>
        <w:spacing w:before="20" w:after="20"/>
        <w:ind w:left="567"/>
      </w:pPr>
      <w:r>
        <w:rPr>
          <w:rFonts w:ascii="Calibri" w:hAnsi="Calibri" w:eastAsia="Calibri"/>
          <w:color w:val="1A1A1A"/>
          <w:sz w:val="22"/>
        </w:rPr>
        <w:t>Greenkeeping.</w:t>
      </w:r>
    </w:p>
    <w:p>
      <w:pPr>
        <w:pStyle w:val="ListBullet"/>
        <w:spacing w:before="20" w:after="20"/>
        <w:ind w:left="567"/>
      </w:pPr>
      <w:r>
        <w:rPr>
          <w:rFonts w:ascii="Calibri" w:hAnsi="Calibri" w:eastAsia="Calibri"/>
          <w:color w:val="1A1A1A"/>
          <w:sz w:val="22"/>
        </w:rPr>
        <w:t>Golf services: sales, reception, marshalling, caddy master, and member administration, including competitions and handicaps, so people understand the whole process.</w:t>
      </w:r>
    </w:p>
    <w:p>
      <w:pPr>
        <w:pStyle w:val="ListBullet"/>
        <w:spacing w:before="20" w:after="20"/>
        <w:ind w:left="567"/>
      </w:pPr>
      <w:r>
        <w:rPr>
          <w:rFonts w:ascii="Calibri" w:hAnsi="Calibri" w:eastAsia="Calibri"/>
          <w:color w:val="1A1A1A"/>
          <w:sz w:val="22"/>
        </w:rPr>
        <w:t>Waiting and kitchen staff.</w:t>
      </w:r>
    </w:p>
    <w:p>
      <w:pPr>
        <w:pStyle w:val="ListBullet"/>
        <w:spacing w:before="20" w:after="20"/>
        <w:ind w:left="567"/>
      </w:pPr>
      <w:r>
        <w:rPr>
          <w:rFonts w:ascii="Calibri" w:hAnsi="Calibri" w:eastAsia="Calibri"/>
          <w:color w:val="1A1A1A"/>
          <w:sz w:val="22"/>
        </w:rPr>
        <w:t>A higher level of multi-skilling across these areas.</w:t>
      </w:r>
    </w:p>
    <w:p>
      <w:pPr>
        <w:spacing w:before="120" w:after="120" w:line="269" w:lineRule="auto"/>
      </w:pPr>
      <w:r>
        <w:rPr>
          <w:rFonts w:ascii="Calibri" w:hAnsi="Calibri" w:eastAsia="Calibri"/>
          <w:b w:val="0"/>
          <w:i w:val="0"/>
          <w:color w:val="1A1A1A"/>
          <w:sz w:val="22"/>
        </w:rPr>
        <w:t>Local recruitment should focus on Estepona and San Pedro, where people are more likely to be able to travel to the club. How development is measured, and how it is rewarded in pay and in the job, is still open. Part 4 is where that gets sequenced.</w:t>
      </w:r>
    </w:p>
    <w:p>
      <w:pPr>
        <w:spacing w:before="120" w:after="120" w:line="269" w:lineRule="auto"/>
      </w:pPr>
      <w:r>
        <w:rPr>
          <w:rFonts w:ascii="Calibri" w:hAnsi="Calibri" w:eastAsia="Calibri"/>
          <w:b w:val="0"/>
          <w:i w:val="0"/>
          <w:color w:val="1A1A1A"/>
          <w:sz w:val="22"/>
        </w:rPr>
        <w:t>The course and the clubhouse are unlikely to be the best available. The club can still get more from those assets through its staff, and it can be recognised for the people it has and for how it looks after them. One or two champions will be needed to drive it. Two questions are left open: whether the Board or the membership includes someone with a professional HR background who should be involved, and where the earlier working party on this subject finished.</w:t>
      </w:r>
    </w:p>
    <w:p>
      <w:pPr>
        <w:pStyle w:val="Heading1"/>
        <w:spacing w:before="280" w:after="80"/>
      </w:pPr>
      <w:r>
        <w:rPr>
          <w:rFonts w:ascii="Calibri" w:hAnsi="Calibri" w:eastAsia="Calibri"/>
          <w:color w:val="1B4D3E"/>
        </w:rPr>
        <w:t>Part 3 — Symptoms and problems today</w:t>
      </w:r>
    </w:p>
    <w:p>
      <w:pPr>
        <w:spacing w:before="80" w:after="80" w:line="269" w:lineRule="auto"/>
      </w:pPr>
      <w:r>
        <w:rPr>
          <w:rFonts w:ascii="Calibri" w:hAnsi="Calibri" w:eastAsia="Calibri"/>
          <w:b/>
          <w:i w:val="0"/>
          <w:color w:val="1A1A1A"/>
          <w:sz w:val="22"/>
        </w:rPr>
        <w:t xml:space="preserve">CS to discuss. </w:t>
      </w:r>
      <w:r>
        <w:rPr>
          <w:rFonts w:ascii="Calibri" w:hAnsi="Calibri" w:eastAsia="Calibri"/>
          <w:b w:val="0"/>
          <w:i w:val="0"/>
          <w:color w:val="1A1A1A"/>
          <w:sz w:val="22"/>
        </w:rPr>
        <w:t>This part records the judgement in the Board note so the Board can test it. It is not a finding that any particular resignation was caused by pay. Ratings are the author’s assessment, not a scored audit.</w:t>
      </w:r>
    </w:p>
    <w:p>
      <w:pPr>
        <w:pStyle w:val="Heading2"/>
        <w:spacing w:before="200" w:after="80"/>
      </w:pPr>
      <w:r>
        <w:rPr>
          <w:rFonts w:ascii="Calibri" w:hAnsi="Calibri" w:eastAsia="Calibri"/>
          <w:color w:val="1F3D32"/>
        </w:rPr>
        <w:t>3.1 What the note says is not working</w:t>
      </w:r>
    </w:p>
    <w:p>
      <w:pPr>
        <w:spacing w:before="120" w:after="120" w:line="269" w:lineRule="auto"/>
      </w:pPr>
      <w:r>
        <w:rPr>
          <w:rFonts w:ascii="Calibri" w:hAnsi="Calibri" w:eastAsia="Calibri"/>
          <w:b w:val="0"/>
          <w:i w:val="0"/>
          <w:color w:val="1A1A1A"/>
          <w:sz w:val="22"/>
        </w:rPr>
        <w:t>Motivation and development are largely informal. That may be why the team is currently content. It is not a reliable system. Concern about high fixed costs, and the memory of what a downturn would do to those costs, has made staff decisions reactive. David has rightly kept that cost risk in view. The consequence, as the note puts it, is that the club has been reactive rather than proactive on staff.</w:t>
      </w:r>
    </w:p>
    <w:p>
      <w:pPr>
        <w:spacing w:before="120" w:after="120" w:line="269" w:lineRule="auto"/>
      </w:pPr>
      <w:r>
        <w:rPr>
          <w:rFonts w:ascii="Calibri" w:hAnsi="Calibri" w:eastAsia="Calibri"/>
          <w:b w:val="0"/>
          <w:i w:val="0"/>
          <w:color w:val="1A1A1A"/>
          <w:sz w:val="22"/>
        </w:rPr>
        <w:t>The concrete evidence given is the loss of a high number of skilled and experienced employees over the last 24 months, mainly greenkeeping staff. The note says the warning signs were there and were not acted on early enough, and asks why. It also says the Board rarely hears or talks about staff, although they are probably the club’s biggest asset. Test that judgement against leaver records, reasons for leaving, and vacancies before it is treated as fact.</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4200"/>
        <w:gridCol w:w="5880"/>
      </w:tblGrid>
      <w:tr>
        <w:trPr>
          <w:tblHeader/>
          <w:cantSplit/>
        </w:trPr>
        <w:tc>
          <w:tcPr>
            <w:tcW w:w="4200" w:type="dxa"/>
            <w:shd w:fill="1B4D3E" w:val="clear"/>
            <w:vAlign w:val="center"/>
          </w:tcPr>
          <w:p>
            <w:pPr>
              <w:spacing w:before="20" w:after="20" w:line="252" w:lineRule="auto"/>
            </w:pPr>
            <w:r/>
            <w:r>
              <w:rPr>
                <w:rFonts w:ascii="Calibri" w:hAnsi="Calibri" w:eastAsia="Calibri"/>
                <w:b/>
                <w:i w:val="0"/>
                <w:color w:val="FFFFFF"/>
                <w:sz w:val="18"/>
              </w:rPr>
              <w:t>Symptom named in the note</w:t>
            </w:r>
          </w:p>
        </w:tc>
        <w:tc>
          <w:tcPr>
            <w:tcW w:w="5880" w:type="dxa"/>
            <w:shd w:fill="1B4D3E" w:val="clear"/>
            <w:vAlign w:val="center"/>
          </w:tcPr>
          <w:p>
            <w:pPr>
              <w:spacing w:before="20" w:after="20" w:line="252" w:lineRule="auto"/>
            </w:pPr>
            <w:r/>
            <w:r>
              <w:rPr>
                <w:rFonts w:ascii="Calibri" w:hAnsi="Calibri" w:eastAsia="Calibri"/>
                <w:b/>
                <w:i w:val="0"/>
                <w:color w:val="FFFFFF"/>
                <w:sz w:val="18"/>
              </w:rPr>
              <w:t>What would confirm or correct it</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8"/>
              </w:rPr>
              <w:t>Motivation and development are informal.</w:t>
            </w:r>
          </w:p>
        </w:tc>
        <w:tc>
          <w:tcPr>
            <w:tcW w:w="5880" w:type="dxa"/>
            <w:shd w:fill="FFFFFF" w:val="clear"/>
            <w:vAlign w:val="center"/>
          </w:tcPr>
          <w:p>
            <w:pPr>
              <w:spacing w:before="20" w:after="20" w:line="252" w:lineRule="auto"/>
            </w:pPr>
            <w:r/>
            <w:r>
              <w:rPr>
                <w:rFonts w:ascii="Calibri" w:hAnsi="Calibri" w:eastAsia="Calibri"/>
                <w:b w:val="0"/>
                <w:i w:val="0"/>
                <w:color w:val="1A1A1A"/>
                <w:sz w:val="18"/>
              </w:rPr>
              <w:t>Whether job descriptions, appraisals and development plans exist and are used, by department.</w:t>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8"/>
              </w:rPr>
              <w:t>Staff decisions have been reactive, driven by fixed-cost anxiety.</w:t>
            </w:r>
          </w:p>
        </w:tc>
        <w:tc>
          <w:tcPr>
            <w:tcW w:w="5880" w:type="dxa"/>
            <w:shd w:fill="F4F7F4" w:val="clear"/>
            <w:vAlign w:val="center"/>
          </w:tcPr>
          <w:p>
            <w:pPr>
              <w:spacing w:before="20" w:after="20" w:line="252" w:lineRule="auto"/>
            </w:pPr>
            <w:r/>
            <w:r>
              <w:rPr>
                <w:rFonts w:ascii="Calibri" w:hAnsi="Calibri" w:eastAsia="Calibri"/>
                <w:b w:val="0"/>
                <w:i w:val="0"/>
                <w:color w:val="1A1A1A"/>
                <w:sz w:val="18"/>
              </w:rPr>
              <w:t>A short history of the last two years’ hiring, pay and leaver decisions, and what triggered each one.</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8"/>
              </w:rPr>
              <w:t>A high number of skilled leavers in 24 months, mainly greenkeeping.</w:t>
            </w:r>
          </w:p>
        </w:tc>
        <w:tc>
          <w:tcPr>
            <w:tcW w:w="5880" w:type="dxa"/>
            <w:shd w:fill="FFFFFF" w:val="clear"/>
            <w:vAlign w:val="center"/>
          </w:tcPr>
          <w:p>
            <w:pPr>
              <w:spacing w:before="20" w:after="20" w:line="252" w:lineRule="auto"/>
            </w:pPr>
            <w:r/>
            <w:r>
              <w:rPr>
                <w:rFonts w:ascii="Calibri" w:hAnsi="Calibri" w:eastAsia="Calibri"/>
                <w:b w:val="0"/>
                <w:i w:val="0"/>
                <w:color w:val="1A1A1A"/>
                <w:sz w:val="18"/>
              </w:rPr>
              <w:t>Names or counts, dates, length of service, reason given, and whether the post was filled.</w:t>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8"/>
              </w:rPr>
              <w:t>Warning signs were visible and not acted on.</w:t>
            </w:r>
          </w:p>
        </w:tc>
        <w:tc>
          <w:tcPr>
            <w:tcW w:w="5880" w:type="dxa"/>
            <w:shd w:fill="F4F7F4" w:val="clear"/>
            <w:vAlign w:val="center"/>
          </w:tcPr>
          <w:p>
            <w:pPr>
              <w:spacing w:before="20" w:after="20" w:line="252" w:lineRule="auto"/>
            </w:pPr>
            <w:r/>
            <w:r>
              <w:rPr>
                <w:rFonts w:ascii="Calibri" w:hAnsi="Calibri" w:eastAsia="Calibri"/>
                <w:b w:val="0"/>
                <w:i w:val="0"/>
                <w:color w:val="1A1A1A"/>
                <w:sz w:val="18"/>
              </w:rPr>
              <w:t>What the signs were, who saw them, and what was decided at the time.</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8"/>
              </w:rPr>
              <w:t>The Board rarely discusses staff.</w:t>
            </w:r>
          </w:p>
        </w:tc>
        <w:tc>
          <w:tcPr>
            <w:tcW w:w="5880" w:type="dxa"/>
            <w:shd w:fill="FFFFFF" w:val="clear"/>
            <w:vAlign w:val="center"/>
          </w:tcPr>
          <w:p>
            <w:pPr>
              <w:spacing w:before="20" w:after="20" w:line="252" w:lineRule="auto"/>
            </w:pPr>
            <w:r/>
            <w:r>
              <w:rPr>
                <w:rFonts w:ascii="Calibri" w:hAnsi="Calibri" w:eastAsia="Calibri"/>
                <w:b w:val="0"/>
                <w:i w:val="0"/>
                <w:color w:val="1A1A1A"/>
                <w:sz w:val="18"/>
              </w:rPr>
              <w:t>How often staff, leavers or pay appear in Board minutes.</w:t>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8"/>
              </w:rPr>
              <w:t>Competition for general greenkeepers has increased.</w:t>
            </w:r>
          </w:p>
        </w:tc>
        <w:tc>
          <w:tcPr>
            <w:tcW w:w="5880" w:type="dxa"/>
            <w:shd w:fill="F4F7F4" w:val="clear"/>
            <w:vAlign w:val="center"/>
          </w:tcPr>
          <w:p>
            <w:pPr>
              <w:spacing w:before="20" w:after="20" w:line="252" w:lineRule="auto"/>
            </w:pPr>
            <w:r/>
            <w:r>
              <w:rPr>
                <w:rFonts w:ascii="Calibri" w:hAnsi="Calibri" w:eastAsia="Calibri"/>
                <w:b w:val="0"/>
                <w:i w:val="0"/>
                <w:color w:val="1A1A1A"/>
                <w:sz w:val="18"/>
              </w:rPr>
              <w:t>Current vacancies, time to fill, and recent local offers.</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8"/>
              </w:rPr>
              <w:t>Most staff live more than 30 km away, in a high cost-of-living area.</w:t>
            </w:r>
          </w:p>
        </w:tc>
        <w:tc>
          <w:tcPr>
            <w:tcW w:w="5880" w:type="dxa"/>
            <w:shd w:fill="FFFFFF" w:val="clear"/>
            <w:vAlign w:val="center"/>
          </w:tcPr>
          <w:p>
            <w:pPr>
              <w:spacing w:before="20" w:after="20" w:line="252" w:lineRule="auto"/>
            </w:pPr>
            <w:r/>
            <w:r>
              <w:rPr>
                <w:rFonts w:ascii="Calibri" w:hAnsi="Calibri" w:eastAsia="Calibri"/>
                <w:b w:val="0"/>
                <w:i w:val="0"/>
                <w:color w:val="1A1A1A"/>
                <w:sz w:val="18"/>
              </w:rPr>
              <w:t>Actual home area, days on site, and mode of travel. Replace the fuel illustration in section 3.3.</w:t>
            </w:r>
          </w:p>
        </w:tc>
      </w:tr>
    </w:tbl>
    <w:p>
      <w:pPr>
        <w:pStyle w:val="Heading2"/>
        <w:spacing w:before="200" w:after="80"/>
      </w:pPr>
      <w:r>
        <w:rPr>
          <w:rFonts w:ascii="Calibri" w:hAnsi="Calibri" w:eastAsia="Calibri"/>
          <w:color w:val="1F3D32"/>
        </w:rPr>
        <w:t>3.2 Where the five principles stand today</w:t>
      </w:r>
    </w:p>
    <w:p>
      <w:pPr>
        <w:spacing w:before="120" w:after="120" w:line="269" w:lineRule="auto"/>
      </w:pPr>
      <w:r>
        <w:rPr>
          <w:rFonts w:ascii="Calibri" w:hAnsi="Calibri" w:eastAsia="Calibri"/>
          <w:b w:val="0"/>
          <w:i w:val="0"/>
          <w:color w:val="1A1A1A"/>
          <w:sz w:val="22"/>
        </w:rPr>
        <w:t>The gaps line up with the open items already in this plan: no confirmed market position, incomplete current-pay data, and no agreed mix of fixed and variable pay.</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200"/>
        <w:gridCol w:w="3200"/>
        <w:gridCol w:w="4680"/>
      </w:tblGrid>
      <w:tr>
        <w:trPr>
          <w:tblHeader/>
          <w:cantSplit/>
        </w:trPr>
        <w:tc>
          <w:tcPr>
            <w:tcW w:w="2200" w:type="dxa"/>
            <w:shd w:fill="1B4D3E" w:val="clear"/>
            <w:vAlign w:val="center"/>
          </w:tcPr>
          <w:p>
            <w:pPr>
              <w:spacing w:before="20" w:after="20" w:line="252" w:lineRule="auto"/>
            </w:pPr>
            <w:r/>
            <w:r>
              <w:rPr>
                <w:rFonts w:ascii="Calibri" w:hAnsi="Calibri" w:eastAsia="Calibri"/>
                <w:b/>
                <w:i w:val="0"/>
                <w:color w:val="FFFFFF"/>
                <w:sz w:val="18"/>
              </w:rPr>
              <w:t>Principle</w:t>
            </w:r>
          </w:p>
        </w:tc>
        <w:tc>
          <w:tcPr>
            <w:tcW w:w="3200" w:type="dxa"/>
            <w:shd w:fill="1B4D3E" w:val="clear"/>
            <w:vAlign w:val="center"/>
          </w:tcPr>
          <w:p>
            <w:pPr>
              <w:spacing w:before="20" w:after="20" w:line="252" w:lineRule="auto"/>
            </w:pPr>
            <w:r/>
            <w:r>
              <w:rPr>
                <w:rFonts w:ascii="Calibri" w:hAnsi="Calibri" w:eastAsia="Calibri"/>
                <w:b/>
                <w:i w:val="0"/>
                <w:color w:val="FFFFFF"/>
                <w:sz w:val="18"/>
              </w:rPr>
              <w:t>Assessment in the note</w:t>
            </w:r>
          </w:p>
        </w:tc>
        <w:tc>
          <w:tcPr>
            <w:tcW w:w="4680" w:type="dxa"/>
            <w:shd w:fill="1B4D3E" w:val="clear"/>
            <w:vAlign w:val="center"/>
          </w:tcPr>
          <w:p>
            <w:pPr>
              <w:spacing w:before="20" w:after="20" w:line="252" w:lineRule="auto"/>
            </w:pPr>
            <w:r/>
            <w:r>
              <w:rPr>
                <w:rFonts w:ascii="Calibri" w:hAnsi="Calibri" w:eastAsia="Calibri"/>
                <w:b/>
                <w:i w:val="0"/>
                <w:color w:val="FFFFFF"/>
                <w:sz w:val="18"/>
              </w:rPr>
              <w:t>Why that rating was given</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1. Transparency</w:t>
            </w:r>
          </w:p>
        </w:tc>
        <w:tc>
          <w:tcPr>
            <w:tcW w:w="3200" w:type="dxa"/>
            <w:shd w:fill="FFFFFF" w:val="clear"/>
            <w:vAlign w:val="center"/>
          </w:tcPr>
          <w:p>
            <w:pPr>
              <w:spacing w:before="20" w:after="20" w:line="252" w:lineRule="auto"/>
            </w:pPr>
            <w:r/>
            <w:r>
              <w:rPr>
                <w:rFonts w:ascii="Calibri" w:hAnsi="Calibri" w:eastAsia="Calibri"/>
                <w:b w:val="0"/>
                <w:i w:val="0"/>
                <w:color w:val="1A1A1A"/>
                <w:sz w:val="18"/>
              </w:rPr>
              <w:t>Poor.</w:t>
            </w:r>
          </w:p>
        </w:tc>
        <w:tc>
          <w:tcPr>
            <w:tcW w:w="4680" w:type="dxa"/>
            <w:shd w:fill="FFFFFF" w:val="clear"/>
            <w:vAlign w:val="center"/>
          </w:tcPr>
          <w:p>
            <w:pPr>
              <w:spacing w:before="20" w:after="20" w:line="252" w:lineRule="auto"/>
            </w:pPr>
            <w:r/>
            <w:r>
              <w:rPr>
                <w:rFonts w:ascii="Calibri" w:hAnsi="Calibri" w:eastAsia="Calibri"/>
                <w:b w:val="0"/>
                <w:i w:val="0"/>
                <w:color w:val="1A1A1A"/>
                <w:sz w:val="18"/>
              </w:rPr>
              <w:t>There is no open account of how salaries are set.</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2. Proportionality</w:t>
            </w:r>
          </w:p>
        </w:tc>
        <w:tc>
          <w:tcPr>
            <w:tcW w:w="3200" w:type="dxa"/>
            <w:shd w:fill="F4F7F4" w:val="clear"/>
            <w:vAlign w:val="center"/>
          </w:tcPr>
          <w:p>
            <w:pPr>
              <w:spacing w:before="20" w:after="20" w:line="252" w:lineRule="auto"/>
            </w:pPr>
            <w:r/>
            <w:r>
              <w:rPr>
                <w:rFonts w:ascii="Calibri" w:hAnsi="Calibri" w:eastAsia="Calibri"/>
                <w:b w:val="0"/>
                <w:i w:val="0"/>
                <w:color w:val="1A1A1A"/>
                <w:sz w:val="18"/>
              </w:rPr>
              <w:t>Fairness unclear. Consistency questionable, particularly at mid-level and on incentives.</w:t>
            </w:r>
          </w:p>
        </w:tc>
        <w:tc>
          <w:tcPr>
            <w:tcW w:w="4680" w:type="dxa"/>
            <w:shd w:fill="F4F7F4" w:val="clear"/>
            <w:vAlign w:val="center"/>
          </w:tcPr>
          <w:p>
            <w:pPr>
              <w:spacing w:before="20" w:after="20" w:line="252" w:lineRule="auto"/>
            </w:pPr>
            <w:r/>
            <w:r>
              <w:rPr>
                <w:rFonts w:ascii="Calibri" w:hAnsi="Calibri" w:eastAsia="Calibri"/>
                <w:b w:val="0"/>
                <w:i w:val="0"/>
                <w:color w:val="1A1A1A"/>
                <w:sz w:val="18"/>
              </w:rPr>
              <w:t>The Board has not said where the club should sit on pay.</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3. Financial viability</w:t>
            </w:r>
          </w:p>
        </w:tc>
        <w:tc>
          <w:tcPr>
            <w:tcW w:w="3200" w:type="dxa"/>
            <w:shd w:fill="FFFFFF" w:val="clear"/>
            <w:vAlign w:val="center"/>
          </w:tcPr>
          <w:p>
            <w:pPr>
              <w:spacing w:before="20" w:after="20" w:line="252" w:lineRule="auto"/>
            </w:pPr>
            <w:r/>
            <w:r>
              <w:rPr>
                <w:rFonts w:ascii="Calibri" w:hAnsi="Calibri" w:eastAsia="Calibri"/>
                <w:b w:val="0"/>
                <w:i w:val="0"/>
                <w:color w:val="1A1A1A"/>
                <w:sz w:val="18"/>
              </w:rPr>
              <w:t>Not rated as a failure.</w:t>
            </w:r>
          </w:p>
        </w:tc>
        <w:tc>
          <w:tcPr>
            <w:tcW w:w="4680" w:type="dxa"/>
            <w:shd w:fill="FFFFFF" w:val="clear"/>
            <w:vAlign w:val="center"/>
          </w:tcPr>
          <w:p>
            <w:pPr>
              <w:spacing w:before="20" w:after="20" w:line="252" w:lineRule="auto"/>
            </w:pPr>
            <w:r/>
            <w:r>
              <w:rPr>
                <w:rFonts w:ascii="Calibri" w:hAnsi="Calibri" w:eastAsia="Calibri"/>
                <w:b w:val="0"/>
                <w:i w:val="0"/>
                <w:color w:val="1A1A1A"/>
                <w:sz w:val="18"/>
              </w:rPr>
              <w:t>Flagged as a Board decision that has not yet been taken, rather than as a management failure.</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4. Recruitment and retention</w:t>
            </w:r>
          </w:p>
        </w:tc>
        <w:tc>
          <w:tcPr>
            <w:tcW w:w="3200" w:type="dxa"/>
            <w:shd w:fill="F4F7F4" w:val="clear"/>
            <w:vAlign w:val="center"/>
          </w:tcPr>
          <w:p>
            <w:pPr>
              <w:spacing w:before="20" w:after="20" w:line="252" w:lineRule="auto"/>
            </w:pPr>
            <w:r/>
            <w:r>
              <w:rPr>
                <w:rFonts w:ascii="Calibri" w:hAnsi="Calibri" w:eastAsia="Calibri"/>
                <w:b w:val="0"/>
                <w:i w:val="0"/>
                <w:color w:val="1A1A1A"/>
                <w:sz w:val="18"/>
              </w:rPr>
              <w:t>Average at best, particularly for mid-level staff.</w:t>
            </w:r>
          </w:p>
        </w:tc>
        <w:tc>
          <w:tcPr>
            <w:tcW w:w="4680" w:type="dxa"/>
            <w:shd w:fill="F4F7F4" w:val="clear"/>
            <w:vAlign w:val="center"/>
          </w:tcPr>
          <w:p>
            <w:pPr>
              <w:spacing w:before="20" w:after="20" w:line="252" w:lineRule="auto"/>
            </w:pPr>
            <w:r/>
            <w:r>
              <w:rPr>
                <w:rFonts w:ascii="Calibri" w:hAnsi="Calibri" w:eastAsia="Calibri"/>
                <w:b w:val="0"/>
                <w:i w:val="0"/>
                <w:color w:val="1A1A1A"/>
                <w:sz w:val="18"/>
              </w:rPr>
              <w:t>Development effort is not a settled programme.</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5. Process</w:t>
            </w:r>
          </w:p>
        </w:tc>
        <w:tc>
          <w:tcPr>
            <w:tcW w:w="3200" w:type="dxa"/>
            <w:shd w:fill="FFFFFF" w:val="clear"/>
            <w:vAlign w:val="center"/>
          </w:tcPr>
          <w:p>
            <w:pPr>
              <w:spacing w:before="20" w:after="20" w:line="252" w:lineRule="auto"/>
            </w:pPr>
            <w:r/>
            <w:r>
              <w:rPr>
                <w:rFonts w:ascii="Calibri" w:hAnsi="Calibri" w:eastAsia="Calibri"/>
                <w:b w:val="0"/>
                <w:i w:val="0"/>
                <w:color w:val="1A1A1A"/>
                <w:sz w:val="18"/>
              </w:rPr>
              <w:t>Average at best.</w:t>
            </w:r>
          </w:p>
        </w:tc>
        <w:tc>
          <w:tcPr>
            <w:tcW w:w="4680" w:type="dxa"/>
            <w:shd w:fill="FFFFFF" w:val="clear"/>
            <w:vAlign w:val="center"/>
          </w:tcPr>
          <w:p>
            <w:pPr>
              <w:spacing w:before="20" w:after="20" w:line="252" w:lineRule="auto"/>
            </w:pPr>
            <w:r/>
            <w:r>
              <w:rPr>
                <w:rFonts w:ascii="Calibri" w:hAnsi="Calibri" w:eastAsia="Calibri"/>
                <w:b w:val="0"/>
                <w:i w:val="0"/>
                <w:color w:val="1A1A1A"/>
                <w:sz w:val="18"/>
              </w:rPr>
              <w:t>Structure, job descriptions, appraisals and development plans are not consistent.</w:t>
            </w:r>
          </w:p>
        </w:tc>
      </w:tr>
    </w:tbl>
    <w:p>
      <w:pPr>
        <w:pStyle w:val="Heading2"/>
        <w:spacing w:before="200" w:after="80"/>
      </w:pPr>
      <w:r>
        <w:rPr>
          <w:rFonts w:ascii="Calibri" w:hAnsi="Calibri" w:eastAsia="Calibri"/>
          <w:color w:val="1F3D32"/>
        </w:rPr>
        <w:t>3.3 Commuting cost — illustration only</w:t>
      </w:r>
    </w:p>
    <w:p>
      <w:pPr>
        <w:spacing w:before="120" w:after="120" w:line="269" w:lineRule="auto"/>
      </w:pPr>
      <w:r>
        <w:rPr>
          <w:rFonts w:ascii="Calibri" w:hAnsi="Calibri" w:eastAsia="Calibri"/>
          <w:b w:val="0"/>
          <w:i w:val="0"/>
          <w:color w:val="1A1A1A"/>
          <w:sz w:val="22"/>
        </w:rPr>
        <w:t>Worked example supplied with the note: 1,600 km ÷ 10 km per litre = 160 litres. At an extra €0.50 per litre, the additional cost is €80 for 1,600 km, or €0.05 per kilometre. This is not a claim that every employee travels this distance.</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3360"/>
        <w:gridCol w:w="3360"/>
        <w:gridCol w:w="3360"/>
      </w:tblGrid>
      <w:tr>
        <w:trPr>
          <w:tblHeader/>
          <w:cantSplit/>
        </w:trPr>
        <w:tc>
          <w:tcPr>
            <w:tcW w:w="3360" w:type="dxa"/>
            <w:shd w:fill="1B4D3E" w:val="clear"/>
            <w:vAlign w:val="center"/>
          </w:tcPr>
          <w:p>
            <w:pPr>
              <w:spacing w:before="20" w:after="20" w:line="252" w:lineRule="auto"/>
            </w:pPr>
            <w:r/>
            <w:r>
              <w:rPr>
                <w:rFonts w:ascii="Calibri" w:hAnsi="Calibri" w:eastAsia="Calibri"/>
                <w:b/>
                <w:i w:val="0"/>
                <w:color w:val="FFFFFF"/>
                <w:sz w:val="18"/>
              </w:rPr>
              <w:t>Assumption</w:t>
            </w:r>
          </w:p>
        </w:tc>
        <w:tc>
          <w:tcPr>
            <w:tcW w:w="3360" w:type="dxa"/>
            <w:shd w:fill="1B4D3E" w:val="clear"/>
            <w:vAlign w:val="center"/>
          </w:tcPr>
          <w:p>
            <w:pPr>
              <w:spacing w:before="20" w:after="20" w:line="252" w:lineRule="auto"/>
            </w:pPr>
            <w:r/>
            <w:r>
              <w:rPr>
                <w:rFonts w:ascii="Calibri" w:hAnsi="Calibri" w:eastAsia="Calibri"/>
                <w:b/>
                <w:i w:val="0"/>
                <w:color w:val="FFFFFF"/>
                <w:sz w:val="18"/>
              </w:rPr>
              <w:t>Calculation</w:t>
            </w:r>
          </w:p>
        </w:tc>
        <w:tc>
          <w:tcPr>
            <w:tcW w:w="3360" w:type="dxa"/>
            <w:shd w:fill="1B4D3E" w:val="clear"/>
            <w:vAlign w:val="center"/>
          </w:tcPr>
          <w:p>
            <w:pPr>
              <w:spacing w:before="20" w:after="20" w:line="252" w:lineRule="auto"/>
            </w:pPr>
            <w:r/>
            <w:r>
              <w:rPr>
                <w:rFonts w:ascii="Calibri" w:hAnsi="Calibri" w:eastAsia="Calibri"/>
                <w:b/>
                <w:i w:val="0"/>
                <w:color w:val="FFFFFF"/>
                <w:sz w:val="18"/>
              </w:rPr>
              <w:t>Result</w:t>
            </w:r>
          </w:p>
        </w:tc>
      </w:tr>
      <w:tr>
        <w:trPr>
          <w:cantSplit/>
        </w:trPr>
        <w:tc>
          <w:tcPr>
            <w:tcW w:w="3360" w:type="dxa"/>
            <w:shd w:fill="FFFFFF" w:val="clear"/>
            <w:vAlign w:val="center"/>
          </w:tcPr>
          <w:p>
            <w:pPr>
              <w:spacing w:before="20" w:after="20" w:line="252" w:lineRule="auto"/>
            </w:pPr>
            <w:r/>
            <w:r>
              <w:rPr>
                <w:rFonts w:ascii="Calibri" w:hAnsi="Calibri" w:eastAsia="Calibri"/>
                <w:b w:val="0"/>
                <w:i w:val="0"/>
                <w:color w:val="1A1A1A"/>
                <w:sz w:val="18"/>
              </w:rPr>
              <w:t>Distance travelled</w:t>
            </w:r>
          </w:p>
        </w:tc>
        <w:tc>
          <w:tcPr>
            <w:tcW w:w="3360" w:type="dxa"/>
            <w:shd w:fill="FFFFFF" w:val="clear"/>
            <w:vAlign w:val="center"/>
          </w:tcPr>
          <w:p>
            <w:pPr>
              <w:spacing w:before="20" w:after="20" w:line="252" w:lineRule="auto"/>
            </w:pPr>
            <w:r/>
            <w:r>
              <w:rPr>
                <w:rFonts w:ascii="Calibri" w:hAnsi="Calibri" w:eastAsia="Calibri"/>
                <w:b w:val="0"/>
                <w:i w:val="0"/>
                <w:color w:val="1A1A1A"/>
                <w:sz w:val="18"/>
              </w:rPr>
              <w:t>Given</w:t>
            </w:r>
          </w:p>
        </w:tc>
        <w:tc>
          <w:tcPr>
            <w:tcW w:w="3360" w:type="dxa"/>
            <w:shd w:fill="FFFFFF" w:val="clear"/>
            <w:vAlign w:val="center"/>
          </w:tcPr>
          <w:p>
            <w:pPr>
              <w:spacing w:before="20" w:after="20" w:line="252" w:lineRule="auto"/>
            </w:pPr>
            <w:r/>
            <w:r>
              <w:rPr>
                <w:rFonts w:ascii="Calibri" w:hAnsi="Calibri" w:eastAsia="Calibri"/>
                <w:b w:val="0"/>
                <w:i w:val="0"/>
                <w:color w:val="1A1A1A"/>
                <w:sz w:val="18"/>
              </w:rPr>
              <w:t>1,600 km</w:t>
            </w:r>
          </w:p>
        </w:tc>
      </w:tr>
      <w:tr>
        <w:trPr>
          <w:cantSplit/>
        </w:trPr>
        <w:tc>
          <w:tcPr>
            <w:tcW w:w="3360" w:type="dxa"/>
            <w:shd w:fill="F4F7F4" w:val="clear"/>
            <w:vAlign w:val="center"/>
          </w:tcPr>
          <w:p>
            <w:pPr>
              <w:spacing w:before="20" w:after="20" w:line="252" w:lineRule="auto"/>
            </w:pPr>
            <w:r/>
            <w:r>
              <w:rPr>
                <w:rFonts w:ascii="Calibri" w:hAnsi="Calibri" w:eastAsia="Calibri"/>
                <w:b w:val="0"/>
                <w:i w:val="0"/>
                <w:color w:val="1A1A1A"/>
                <w:sz w:val="18"/>
              </w:rPr>
              <w:t>Fuel efficiency</w:t>
            </w:r>
          </w:p>
        </w:tc>
        <w:tc>
          <w:tcPr>
            <w:tcW w:w="3360" w:type="dxa"/>
            <w:shd w:fill="F4F7F4" w:val="clear"/>
            <w:vAlign w:val="center"/>
          </w:tcPr>
          <w:p>
            <w:pPr>
              <w:spacing w:before="20" w:after="20" w:line="252" w:lineRule="auto"/>
            </w:pPr>
            <w:r/>
            <w:r>
              <w:rPr>
                <w:rFonts w:ascii="Calibri" w:hAnsi="Calibri" w:eastAsia="Calibri"/>
                <w:b w:val="0"/>
                <w:i w:val="0"/>
                <w:color w:val="1A1A1A"/>
                <w:sz w:val="18"/>
              </w:rPr>
              <w:t>Given</w:t>
            </w:r>
          </w:p>
        </w:tc>
        <w:tc>
          <w:tcPr>
            <w:tcW w:w="3360" w:type="dxa"/>
            <w:shd w:fill="F4F7F4" w:val="clear"/>
            <w:vAlign w:val="center"/>
          </w:tcPr>
          <w:p>
            <w:pPr>
              <w:spacing w:before="20" w:after="20" w:line="252" w:lineRule="auto"/>
            </w:pPr>
            <w:r/>
            <w:r>
              <w:rPr>
                <w:rFonts w:ascii="Calibri" w:hAnsi="Calibri" w:eastAsia="Calibri"/>
                <w:b w:val="0"/>
                <w:i w:val="0"/>
                <w:color w:val="1A1A1A"/>
                <w:sz w:val="18"/>
              </w:rPr>
              <w:t>10 km / litre</w:t>
            </w:r>
          </w:p>
        </w:tc>
      </w:tr>
      <w:tr>
        <w:trPr>
          <w:cantSplit/>
        </w:trPr>
        <w:tc>
          <w:tcPr>
            <w:tcW w:w="3360" w:type="dxa"/>
            <w:shd w:fill="FFFFFF" w:val="clear"/>
            <w:vAlign w:val="center"/>
          </w:tcPr>
          <w:p>
            <w:pPr>
              <w:spacing w:before="20" w:after="20" w:line="252" w:lineRule="auto"/>
            </w:pPr>
            <w:r/>
            <w:r>
              <w:rPr>
                <w:rFonts w:ascii="Calibri" w:hAnsi="Calibri" w:eastAsia="Calibri"/>
                <w:b w:val="0"/>
                <w:i w:val="0"/>
                <w:color w:val="1A1A1A"/>
                <w:sz w:val="18"/>
              </w:rPr>
              <w:t>Fuel required</w:t>
            </w:r>
          </w:p>
        </w:tc>
        <w:tc>
          <w:tcPr>
            <w:tcW w:w="3360" w:type="dxa"/>
            <w:shd w:fill="FFFFFF" w:val="clear"/>
            <w:vAlign w:val="center"/>
          </w:tcPr>
          <w:p>
            <w:pPr>
              <w:spacing w:before="20" w:after="20" w:line="252" w:lineRule="auto"/>
            </w:pPr>
            <w:r/>
            <w:r>
              <w:rPr>
                <w:rFonts w:ascii="Calibri" w:hAnsi="Calibri" w:eastAsia="Calibri"/>
                <w:b w:val="0"/>
                <w:i w:val="0"/>
                <w:color w:val="1A1A1A"/>
                <w:sz w:val="18"/>
              </w:rPr>
              <w:t>1,600 ÷ 10</w:t>
            </w:r>
          </w:p>
        </w:tc>
        <w:tc>
          <w:tcPr>
            <w:tcW w:w="3360" w:type="dxa"/>
            <w:shd w:fill="FFFFFF" w:val="clear"/>
            <w:vAlign w:val="center"/>
          </w:tcPr>
          <w:p>
            <w:pPr>
              <w:spacing w:before="20" w:after="20" w:line="252" w:lineRule="auto"/>
            </w:pPr>
            <w:r/>
            <w:r>
              <w:rPr>
                <w:rFonts w:ascii="Calibri" w:hAnsi="Calibri" w:eastAsia="Calibri"/>
                <w:b w:val="0"/>
                <w:i w:val="0"/>
                <w:color w:val="1A1A1A"/>
                <w:sz w:val="18"/>
              </w:rPr>
              <w:t>160 litres</w:t>
            </w:r>
          </w:p>
        </w:tc>
      </w:tr>
      <w:tr>
        <w:trPr>
          <w:cantSplit/>
        </w:trPr>
        <w:tc>
          <w:tcPr>
            <w:tcW w:w="3360" w:type="dxa"/>
            <w:shd w:fill="F4F7F4" w:val="clear"/>
            <w:vAlign w:val="center"/>
          </w:tcPr>
          <w:p>
            <w:pPr>
              <w:spacing w:before="20" w:after="20" w:line="252" w:lineRule="auto"/>
            </w:pPr>
            <w:r/>
            <w:r>
              <w:rPr>
                <w:rFonts w:ascii="Calibri" w:hAnsi="Calibri" w:eastAsia="Calibri"/>
                <w:b w:val="0"/>
                <w:i w:val="0"/>
                <w:color w:val="1A1A1A"/>
                <w:sz w:val="18"/>
              </w:rPr>
              <w:t>Increase in fuel price</w:t>
            </w:r>
          </w:p>
        </w:tc>
        <w:tc>
          <w:tcPr>
            <w:tcW w:w="3360" w:type="dxa"/>
            <w:shd w:fill="F4F7F4" w:val="clear"/>
            <w:vAlign w:val="center"/>
          </w:tcPr>
          <w:p>
            <w:pPr>
              <w:spacing w:before="20" w:after="20" w:line="252" w:lineRule="auto"/>
            </w:pPr>
            <w:r/>
            <w:r>
              <w:rPr>
                <w:rFonts w:ascii="Calibri" w:hAnsi="Calibri" w:eastAsia="Calibri"/>
                <w:b w:val="0"/>
                <w:i w:val="0"/>
                <w:color w:val="1A1A1A"/>
                <w:sz w:val="18"/>
              </w:rPr>
              <w:t>€2.00 − €1.50</w:t>
            </w:r>
          </w:p>
        </w:tc>
        <w:tc>
          <w:tcPr>
            <w:tcW w:w="3360" w:type="dxa"/>
            <w:shd w:fill="F4F7F4" w:val="clear"/>
            <w:vAlign w:val="center"/>
          </w:tcPr>
          <w:p>
            <w:pPr>
              <w:spacing w:before="20" w:after="20" w:line="252" w:lineRule="auto"/>
            </w:pPr>
            <w:r/>
            <w:r>
              <w:rPr>
                <w:rFonts w:ascii="Calibri" w:hAnsi="Calibri" w:eastAsia="Calibri"/>
                <w:b w:val="0"/>
                <w:i w:val="0"/>
                <w:color w:val="1A1A1A"/>
                <w:sz w:val="18"/>
              </w:rPr>
              <w:t>€0.50 / litre</w:t>
            </w:r>
          </w:p>
        </w:tc>
      </w:tr>
      <w:tr>
        <w:trPr>
          <w:cantSplit/>
        </w:trPr>
        <w:tc>
          <w:tcPr>
            <w:tcW w:w="3360" w:type="dxa"/>
            <w:shd w:fill="FFFFFF" w:val="clear"/>
            <w:vAlign w:val="center"/>
          </w:tcPr>
          <w:p>
            <w:pPr>
              <w:spacing w:before="20" w:after="20" w:line="252" w:lineRule="auto"/>
            </w:pPr>
            <w:r/>
            <w:r>
              <w:rPr>
                <w:rFonts w:ascii="Calibri" w:hAnsi="Calibri" w:eastAsia="Calibri"/>
                <w:b w:val="0"/>
                <w:i w:val="0"/>
                <w:color w:val="1A1A1A"/>
                <w:sz w:val="18"/>
              </w:rPr>
              <w:t>Additional fuel cost</w:t>
            </w:r>
          </w:p>
        </w:tc>
        <w:tc>
          <w:tcPr>
            <w:tcW w:w="3360" w:type="dxa"/>
            <w:shd w:fill="FFFFFF" w:val="clear"/>
            <w:vAlign w:val="center"/>
          </w:tcPr>
          <w:p>
            <w:pPr>
              <w:spacing w:before="20" w:after="20" w:line="252" w:lineRule="auto"/>
            </w:pPr>
            <w:r/>
            <w:r>
              <w:rPr>
                <w:rFonts w:ascii="Calibri" w:hAnsi="Calibri" w:eastAsia="Calibri"/>
                <w:b w:val="0"/>
                <w:i w:val="0"/>
                <w:color w:val="1A1A1A"/>
                <w:sz w:val="18"/>
              </w:rPr>
              <w:t>160 × €0.50</w:t>
            </w:r>
          </w:p>
        </w:tc>
        <w:tc>
          <w:tcPr>
            <w:tcW w:w="3360" w:type="dxa"/>
            <w:shd w:fill="FFFFFF" w:val="clear"/>
            <w:vAlign w:val="center"/>
          </w:tcPr>
          <w:p>
            <w:pPr>
              <w:spacing w:before="20" w:after="20" w:line="252" w:lineRule="auto"/>
            </w:pPr>
            <w:r/>
            <w:r>
              <w:rPr>
                <w:rFonts w:ascii="Calibri" w:hAnsi="Calibri" w:eastAsia="Calibri"/>
                <w:b w:val="0"/>
                <w:i w:val="0"/>
                <w:color w:val="1A1A1A"/>
                <w:sz w:val="18"/>
              </w:rPr>
              <w:t>€80</w:t>
            </w:r>
          </w:p>
        </w:tc>
      </w:tr>
      <w:tr>
        <w:trPr>
          <w:cantSplit/>
        </w:trPr>
        <w:tc>
          <w:tcPr>
            <w:tcW w:w="3360" w:type="dxa"/>
            <w:shd w:fill="F4F7F4" w:val="clear"/>
            <w:vAlign w:val="center"/>
          </w:tcPr>
          <w:p>
            <w:pPr>
              <w:spacing w:before="20" w:after="20" w:line="252" w:lineRule="auto"/>
            </w:pPr>
            <w:r/>
            <w:r>
              <w:rPr>
                <w:rFonts w:ascii="Calibri" w:hAnsi="Calibri" w:eastAsia="Calibri"/>
                <w:b w:val="0"/>
                <w:i w:val="0"/>
                <w:color w:val="1A1A1A"/>
                <w:sz w:val="18"/>
              </w:rPr>
              <w:t>Additional cost per kilometre</w:t>
            </w:r>
          </w:p>
        </w:tc>
        <w:tc>
          <w:tcPr>
            <w:tcW w:w="3360" w:type="dxa"/>
            <w:shd w:fill="F4F7F4" w:val="clear"/>
            <w:vAlign w:val="center"/>
          </w:tcPr>
          <w:p>
            <w:pPr>
              <w:spacing w:before="20" w:after="20" w:line="252" w:lineRule="auto"/>
            </w:pPr>
            <w:r/>
            <w:r>
              <w:rPr>
                <w:rFonts w:ascii="Calibri" w:hAnsi="Calibri" w:eastAsia="Calibri"/>
                <w:b w:val="0"/>
                <w:i w:val="0"/>
                <w:color w:val="1A1A1A"/>
                <w:sz w:val="18"/>
              </w:rPr>
              <w:t>€80 ÷ 1,600</w:t>
            </w:r>
          </w:p>
        </w:tc>
        <w:tc>
          <w:tcPr>
            <w:tcW w:w="3360" w:type="dxa"/>
            <w:shd w:fill="F4F7F4" w:val="clear"/>
            <w:vAlign w:val="center"/>
          </w:tcPr>
          <w:p>
            <w:pPr>
              <w:spacing w:before="20" w:after="20" w:line="252" w:lineRule="auto"/>
            </w:pPr>
            <w:r/>
            <w:r>
              <w:rPr>
                <w:rFonts w:ascii="Calibri" w:hAnsi="Calibri" w:eastAsia="Calibri"/>
                <w:b w:val="0"/>
                <w:i w:val="0"/>
                <w:color w:val="1A1A1A"/>
                <w:sz w:val="18"/>
              </w:rPr>
              <w:t>€0.05 / km</w:t>
            </w:r>
          </w:p>
        </w:tc>
      </w:tr>
    </w:tbl>
    <w:p>
      <w:pPr>
        <w:spacing w:before="120" w:after="120" w:line="269" w:lineRule="auto"/>
      </w:pPr>
      <w:r>
        <w:rPr>
          <w:rFonts w:ascii="Calibri" w:hAnsi="Calibri" w:eastAsia="Calibri"/>
          <w:b w:val="0"/>
          <w:i/>
          <w:color w:val="3D4A42"/>
          <w:sz w:val="20"/>
        </w:rPr>
        <w:t>Collect typical commuting distances, days on site, vehicle fuel economy, and whether staff use cars, public transport or shared transport, before this illustration is used in any pay discussion.</w:t>
      </w:r>
    </w:p>
    <w:p>
      <w:pPr>
        <w:pStyle w:val="Heading2"/>
        <w:spacing w:before="200" w:after="80"/>
      </w:pPr>
      <w:r>
        <w:rPr>
          <w:rFonts w:ascii="Calibri" w:hAnsi="Calibri" w:eastAsia="Calibri"/>
          <w:color w:val="1F3D32"/>
        </w:rPr>
        <w:t>3.4 Gaps that block a fair picture</w:t>
      </w:r>
    </w:p>
    <w:p>
      <w:pPr>
        <w:pStyle w:val="ListBullet"/>
        <w:spacing w:before="20" w:after="20"/>
        <w:ind w:left="567"/>
      </w:pPr>
      <w:r>
        <w:rPr>
          <w:rFonts w:ascii="Calibri" w:hAnsi="Calibri" w:eastAsia="Calibri"/>
          <w:color w:val="1A1A1A"/>
          <w:sz w:val="22"/>
        </w:rPr>
        <w:t>Headcount, FTE and the total of about 40 are not reconciled.</w:t>
      </w:r>
    </w:p>
    <w:p>
      <w:pPr>
        <w:pStyle w:val="ListBullet"/>
        <w:spacing w:before="20" w:after="20"/>
        <w:ind w:left="567"/>
      </w:pPr>
      <w:r>
        <w:rPr>
          <w:rFonts w:ascii="Calibri" w:hAnsi="Calibri" w:eastAsia="Calibri"/>
          <w:color w:val="1A1A1A"/>
          <w:sz w:val="22"/>
        </w:rPr>
        <w:t>Current gross pay, hours, 12-or-14 payment pattern, overtime, bonuses, benefits and employer cost are not in the register.</w:t>
      </w:r>
    </w:p>
    <w:p>
      <w:pPr>
        <w:pStyle w:val="ListBullet"/>
        <w:spacing w:before="20" w:after="20"/>
        <w:ind w:left="567"/>
      </w:pPr>
      <w:r>
        <w:rPr>
          <w:rFonts w:ascii="Calibri" w:hAnsi="Calibri" w:eastAsia="Calibri"/>
          <w:color w:val="1A1A1A"/>
          <w:sz w:val="22"/>
        </w:rPr>
        <w:t>The applicable collective agreement and job classifications have not been confirmed.</w:t>
      </w:r>
    </w:p>
    <w:p>
      <w:pPr>
        <w:pStyle w:val="ListBullet"/>
        <w:spacing w:before="20" w:after="20"/>
        <w:ind w:left="567"/>
      </w:pPr>
      <w:r>
        <w:rPr>
          <w:rFonts w:ascii="Calibri" w:hAnsi="Calibri" w:eastAsia="Calibri"/>
          <w:color w:val="1A1A1A"/>
          <w:sz w:val="22"/>
        </w:rPr>
        <w:t>There is no agreed market position, so “fair” cannot yet be tested.</w:t>
      </w:r>
    </w:p>
    <w:p>
      <w:pPr>
        <w:pStyle w:val="ListBullet"/>
        <w:spacing w:before="20" w:after="20"/>
        <w:ind w:left="567"/>
      </w:pPr>
      <w:r>
        <w:rPr>
          <w:rFonts w:ascii="Calibri" w:hAnsi="Calibri" w:eastAsia="Calibri"/>
          <w:color w:val="1A1A1A"/>
          <w:sz w:val="22"/>
        </w:rPr>
        <w:t>Ownership of membership administration, golf reception, reservations, purchasing, HR and IT is not settled.</w:t>
      </w:r>
    </w:p>
    <w:p>
      <w:pPr>
        <w:pStyle w:val="ListBullet"/>
        <w:spacing w:before="20" w:after="20"/>
        <w:ind w:left="567"/>
      </w:pPr>
      <w:r>
        <w:rPr>
          <w:rFonts w:ascii="Calibri" w:hAnsi="Calibri" w:eastAsia="Calibri"/>
          <w:color w:val="1A1A1A"/>
          <w:sz w:val="22"/>
        </w:rPr>
        <w:t>It is not confirmed whether the restaurant is a separate profit centre with its own turnover and payroll.</w:t>
      </w:r>
    </w:p>
    <w:p>
      <w:pPr>
        <w:pStyle w:val="ListBullet"/>
        <w:spacing w:before="20" w:after="20"/>
        <w:ind w:left="567"/>
      </w:pPr>
      <w:r>
        <w:rPr>
          <w:rFonts w:ascii="Calibri" w:hAnsi="Calibri" w:eastAsia="Calibri"/>
          <w:color w:val="1A1A1A"/>
          <w:sz w:val="22"/>
        </w:rPr>
        <w:t>Service-level and course-condition standards — the standard the staffing is meant to protect — are not written down.</w:t>
      </w:r>
    </w:p>
    <w:p>
      <w:pPr>
        <w:pStyle w:val="Heading1"/>
        <w:spacing w:before="280" w:after="80"/>
      </w:pPr>
      <w:r>
        <w:rPr>
          <w:rFonts w:ascii="Calibri" w:hAnsi="Calibri" w:eastAsia="Calibri"/>
          <w:color w:val="1B4D3E"/>
        </w:rPr>
        <w:t>Part 4 — How and when to migrate / convert</w:t>
      </w:r>
    </w:p>
    <w:p>
      <w:pPr>
        <w:spacing w:before="80" w:after="80" w:line="269" w:lineRule="auto"/>
      </w:pPr>
      <w:r>
        <w:rPr>
          <w:rFonts w:ascii="Calibri" w:hAnsi="Calibri" w:eastAsia="Calibri"/>
          <w:b/>
          <w:i w:val="0"/>
          <w:color w:val="1A1A1A"/>
          <w:sz w:val="22"/>
        </w:rPr>
        <w:t xml:space="preserve">Owner: RL, by 30 November 2026, </w:t>
      </w:r>
      <w:r>
        <w:rPr>
          <w:rFonts w:ascii="Calibri" w:hAnsi="Calibri" w:eastAsia="Calibri"/>
          <w:b w:val="0"/>
          <w:i w:val="0"/>
          <w:color w:val="1A1A1A"/>
          <w:sz w:val="22"/>
        </w:rPr>
        <w:t>to review the status of this plan and turn this part into the migration plan. Nothing in Part 2 is implemented until the legal, financial and consultation requirements are understood. The note suggests a six-month working party: a small group to think it through and then roll out a plan, with the labour consultant advising on Spanish employment practice. First task of that party, if the Board agrees: find and review the output of the previous working party.</w:t>
      </w:r>
    </w:p>
    <w:p>
      <w:pPr>
        <w:pStyle w:val="Heading2"/>
        <w:spacing w:before="200" w:after="80"/>
      </w:pPr>
      <w:r>
        <w:rPr>
          <w:rFonts w:ascii="Calibri" w:hAnsi="Calibri" w:eastAsia="Calibri"/>
          <w:color w:val="1F3D32"/>
        </w:rPr>
        <w:t>4.1 Dates already set</w:t>
      </w:r>
    </w:p>
    <w:p>
      <w:pPr>
        <w:spacing w:before="120" w:after="120" w:line="269" w:lineRule="auto"/>
      </w:pPr>
      <w:r>
        <w:rPr>
          <w:rFonts w:ascii="Calibri" w:hAnsi="Calibri" w:eastAsia="Calibri"/>
          <w:b w:val="0"/>
          <w:i w:val="0"/>
          <w:color w:val="1A1A1A"/>
          <w:sz w:val="22"/>
        </w:rPr>
        <w:t>These dates come from the action list. They get the plan ready. They are not implementation dates for pay or contracts.</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200"/>
        <w:gridCol w:w="1600"/>
        <w:gridCol w:w="6280"/>
      </w:tblGrid>
      <w:tr>
        <w:trPr>
          <w:tblHeader/>
          <w:cantSplit/>
        </w:trPr>
        <w:tc>
          <w:tcPr>
            <w:tcW w:w="2200" w:type="dxa"/>
            <w:shd w:fill="1B4D3E" w:val="clear"/>
            <w:vAlign w:val="center"/>
          </w:tcPr>
          <w:p>
            <w:pPr>
              <w:spacing w:before="20" w:after="20" w:line="252" w:lineRule="auto"/>
            </w:pPr>
            <w:r/>
            <w:r>
              <w:rPr>
                <w:rFonts w:ascii="Calibri" w:hAnsi="Calibri" w:eastAsia="Calibri"/>
                <w:b/>
                <w:i w:val="0"/>
                <w:color w:val="FFFFFF"/>
                <w:sz w:val="18"/>
              </w:rPr>
              <w:t>Date</w:t>
            </w:r>
          </w:p>
        </w:tc>
        <w:tc>
          <w:tcPr>
            <w:tcW w:w="1600" w:type="dxa"/>
            <w:shd w:fill="1B4D3E" w:val="clear"/>
            <w:vAlign w:val="center"/>
          </w:tcPr>
          <w:p>
            <w:pPr>
              <w:spacing w:before="20" w:after="20" w:line="252" w:lineRule="auto"/>
            </w:pPr>
            <w:r/>
            <w:r>
              <w:rPr>
                <w:rFonts w:ascii="Calibri" w:hAnsi="Calibri" w:eastAsia="Calibri"/>
                <w:b/>
                <w:i w:val="0"/>
                <w:color w:val="FFFFFF"/>
                <w:sz w:val="18"/>
              </w:rPr>
              <w:t>Who</w:t>
            </w:r>
          </w:p>
        </w:tc>
        <w:tc>
          <w:tcPr>
            <w:tcW w:w="6280" w:type="dxa"/>
            <w:shd w:fill="1B4D3E" w:val="clear"/>
            <w:vAlign w:val="center"/>
          </w:tcPr>
          <w:p>
            <w:pPr>
              <w:spacing w:before="20" w:after="20" w:line="252" w:lineRule="auto"/>
            </w:pPr>
            <w:r/>
            <w:r>
              <w:rPr>
                <w:rFonts w:ascii="Calibri" w:hAnsi="Calibri" w:eastAsia="Calibri"/>
                <w:b/>
                <w:i w:val="0"/>
                <w:color w:val="FFFFFF"/>
                <w:sz w:val="18"/>
              </w:rPr>
              <w:t>What this date is for</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17 October 2026</w:t>
            </w:r>
          </w:p>
        </w:tc>
        <w:tc>
          <w:tcPr>
            <w:tcW w:w="1600" w:type="dxa"/>
            <w:shd w:fill="FFFFFF" w:val="clear"/>
            <w:vAlign w:val="center"/>
          </w:tcPr>
          <w:p>
            <w:pPr>
              <w:spacing w:before="20" w:after="20" w:line="252" w:lineRule="auto"/>
            </w:pPr>
            <w:r/>
            <w:r>
              <w:rPr>
                <w:rFonts w:ascii="Calibri" w:hAnsi="Calibri" w:eastAsia="Calibri"/>
                <w:b w:val="0"/>
                <w:i w:val="0"/>
                <w:color w:val="1A1A1A"/>
                <w:sz w:val="18"/>
              </w:rPr>
              <w:t>BG</w:t>
            </w:r>
          </w:p>
        </w:tc>
        <w:tc>
          <w:tcPr>
            <w:tcW w:w="6280" w:type="dxa"/>
            <w:shd w:fill="FFFFFF" w:val="clear"/>
            <w:vAlign w:val="center"/>
          </w:tcPr>
          <w:p>
            <w:pPr>
              <w:spacing w:before="20" w:after="20" w:line="252" w:lineRule="auto"/>
            </w:pPr>
            <w:r/>
            <w:r>
              <w:rPr>
                <w:rFonts w:ascii="Calibri" w:hAnsi="Calibri" w:eastAsia="Calibri"/>
                <w:b w:val="0"/>
                <w:i w:val="0"/>
                <w:color w:val="1A1A1A"/>
                <w:sz w:val="18"/>
              </w:rPr>
              <w:t>Project plan restructured as version 2.</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1 November 2026</w:t>
            </w:r>
          </w:p>
        </w:tc>
        <w:tc>
          <w:tcPr>
            <w:tcW w:w="1600" w:type="dxa"/>
            <w:shd w:fill="F4F7F4" w:val="clear"/>
            <w:vAlign w:val="center"/>
          </w:tcPr>
          <w:p>
            <w:pPr>
              <w:spacing w:before="20" w:after="20" w:line="252" w:lineRule="auto"/>
            </w:pPr>
            <w:r/>
            <w:r>
              <w:rPr>
                <w:rFonts w:ascii="Calibri" w:hAnsi="Calibri" w:eastAsia="Calibri"/>
                <w:b w:val="0"/>
                <w:i w:val="0"/>
                <w:color w:val="1A1A1A"/>
                <w:sz w:val="18"/>
              </w:rPr>
              <w:t>CG</w:t>
            </w:r>
          </w:p>
        </w:tc>
        <w:tc>
          <w:tcPr>
            <w:tcW w:w="6280" w:type="dxa"/>
            <w:shd w:fill="F4F7F4" w:val="clear"/>
            <w:vAlign w:val="center"/>
          </w:tcPr>
          <w:p>
            <w:pPr>
              <w:spacing w:before="20" w:after="20" w:line="252" w:lineRule="auto"/>
            </w:pPr>
            <w:r/>
            <w:r>
              <w:rPr>
                <w:rFonts w:ascii="Calibri" w:hAnsi="Calibri" w:eastAsia="Calibri"/>
                <w:b w:val="0"/>
                <w:i w:val="0"/>
                <w:color w:val="1A1A1A"/>
                <w:sz w:val="18"/>
              </w:rPr>
              <w:t>Part 1 completed: today’s headcount, names and current pay.</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1 November 2026</w:t>
            </w:r>
          </w:p>
        </w:tc>
        <w:tc>
          <w:tcPr>
            <w:tcW w:w="1600" w:type="dxa"/>
            <w:shd w:fill="FFFFFF" w:val="clear"/>
            <w:vAlign w:val="center"/>
          </w:tcPr>
          <w:p>
            <w:pPr>
              <w:spacing w:before="20" w:after="20" w:line="252" w:lineRule="auto"/>
            </w:pPr>
            <w:r/>
            <w:r>
              <w:rPr>
                <w:rFonts w:ascii="Calibri" w:hAnsi="Calibri" w:eastAsia="Calibri"/>
                <w:b w:val="0"/>
                <w:i w:val="0"/>
                <w:color w:val="1A1A1A"/>
                <w:sz w:val="18"/>
              </w:rPr>
              <w:t>BK</w:t>
            </w:r>
          </w:p>
        </w:tc>
        <w:tc>
          <w:tcPr>
            <w:tcW w:w="6280" w:type="dxa"/>
            <w:shd w:fill="FFFFFF" w:val="clear"/>
            <w:vAlign w:val="center"/>
          </w:tcPr>
          <w:p>
            <w:pPr>
              <w:spacing w:before="20" w:after="20" w:line="252" w:lineRule="auto"/>
            </w:pPr>
            <w:r/>
            <w:r>
              <w:rPr>
                <w:rFonts w:ascii="Calibri" w:hAnsi="Calibri" w:eastAsia="Calibri"/>
                <w:b w:val="0"/>
                <w:i w:val="0"/>
                <w:color w:val="1A1A1A"/>
                <w:sz w:val="18"/>
              </w:rPr>
              <w:t>Conversation with the external salary and union consultant.</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1 November 2026</w:t>
            </w:r>
          </w:p>
        </w:tc>
        <w:tc>
          <w:tcPr>
            <w:tcW w:w="1600" w:type="dxa"/>
            <w:shd w:fill="F4F7F4" w:val="clear"/>
            <w:vAlign w:val="center"/>
          </w:tcPr>
          <w:p>
            <w:pPr>
              <w:spacing w:before="20" w:after="20" w:line="252" w:lineRule="auto"/>
            </w:pPr>
            <w:r/>
            <w:r>
              <w:rPr>
                <w:rFonts w:ascii="Calibri" w:hAnsi="Calibri" w:eastAsia="Calibri"/>
                <w:b w:val="0"/>
                <w:i w:val="0"/>
                <w:color w:val="1A1A1A"/>
                <w:sz w:val="18"/>
              </w:rPr>
              <w:t>BK</w:t>
            </w:r>
          </w:p>
        </w:tc>
        <w:tc>
          <w:tcPr>
            <w:tcW w:w="6280" w:type="dxa"/>
            <w:shd w:fill="F4F7F4" w:val="clear"/>
            <w:vAlign w:val="center"/>
          </w:tcPr>
          <w:p>
            <w:pPr>
              <w:spacing w:before="20" w:after="20" w:line="252" w:lineRule="auto"/>
            </w:pPr>
            <w:r/>
            <w:r>
              <w:rPr>
                <w:rFonts w:ascii="Calibri" w:hAnsi="Calibri" w:eastAsia="Calibri"/>
                <w:b w:val="0"/>
                <w:i w:val="0"/>
                <w:color w:val="1A1A1A"/>
                <w:sz w:val="18"/>
              </w:rPr>
              <w:t>Draft plan presented to MH, once the draft is finalised. Status: plan date.</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19 November 2026</w:t>
            </w:r>
          </w:p>
        </w:tc>
        <w:tc>
          <w:tcPr>
            <w:tcW w:w="1600" w:type="dxa"/>
            <w:shd w:fill="FFFFFF" w:val="clear"/>
            <w:vAlign w:val="center"/>
          </w:tcPr>
          <w:p>
            <w:pPr>
              <w:spacing w:before="20" w:after="20" w:line="252" w:lineRule="auto"/>
            </w:pPr>
            <w:r/>
            <w:r>
              <w:rPr>
                <w:rFonts w:ascii="Calibri" w:hAnsi="Calibri" w:eastAsia="Calibri"/>
                <w:b w:val="0"/>
                <w:i w:val="0"/>
                <w:color w:val="1A1A1A"/>
                <w:sz w:val="18"/>
              </w:rPr>
              <w:t>CS / BK</w:t>
            </w:r>
          </w:p>
        </w:tc>
        <w:tc>
          <w:tcPr>
            <w:tcW w:w="6280" w:type="dxa"/>
            <w:shd w:fill="FFFFFF" w:val="clear"/>
            <w:vAlign w:val="center"/>
          </w:tcPr>
          <w:p>
            <w:pPr>
              <w:spacing w:before="20" w:after="20" w:line="252" w:lineRule="auto"/>
            </w:pPr>
            <w:r/>
            <w:r>
              <w:rPr>
                <w:rFonts w:ascii="Calibri" w:hAnsi="Calibri" w:eastAsia="Calibri"/>
                <w:b w:val="0"/>
                <w:i w:val="0"/>
                <w:color w:val="1A1A1A"/>
                <w:sz w:val="18"/>
              </w:rPr>
              <w:t>BK presents the project plan. Feedback is collected and tasks are allocated.</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30 November 2026</w:t>
            </w:r>
          </w:p>
        </w:tc>
        <w:tc>
          <w:tcPr>
            <w:tcW w:w="1600" w:type="dxa"/>
            <w:shd w:fill="F4F7F4" w:val="clear"/>
            <w:vAlign w:val="center"/>
          </w:tcPr>
          <w:p>
            <w:pPr>
              <w:spacing w:before="20" w:after="20" w:line="252" w:lineRule="auto"/>
            </w:pPr>
            <w:r/>
            <w:r>
              <w:rPr>
                <w:rFonts w:ascii="Calibri" w:hAnsi="Calibri" w:eastAsia="Calibri"/>
                <w:b w:val="0"/>
                <w:i w:val="0"/>
                <w:color w:val="1A1A1A"/>
                <w:sz w:val="18"/>
              </w:rPr>
              <w:t>RL</w:t>
            </w:r>
          </w:p>
        </w:tc>
        <w:tc>
          <w:tcPr>
            <w:tcW w:w="6280" w:type="dxa"/>
            <w:shd w:fill="F4F7F4" w:val="clear"/>
            <w:vAlign w:val="center"/>
          </w:tcPr>
          <w:p>
            <w:pPr>
              <w:spacing w:before="20" w:after="20" w:line="252" w:lineRule="auto"/>
            </w:pPr>
            <w:r/>
            <w:r>
              <w:rPr>
                <w:rFonts w:ascii="Calibri" w:hAnsi="Calibri" w:eastAsia="Calibri"/>
                <w:b w:val="0"/>
                <w:i w:val="0"/>
                <w:color w:val="1A1A1A"/>
                <w:sz w:val="18"/>
              </w:rPr>
              <w:t>Project-plan status reviewed. This part completed as the migration plan.</w:t>
            </w:r>
          </w:p>
        </w:tc>
      </w:tr>
      <w:tr>
        <w:trPr>
          <w:cantSplit/>
        </w:trPr>
        <w:tc>
          <w:tcPr>
            <w:tcW w:w="2200" w:type="dxa"/>
            <w:shd w:fill="FFFFFF" w:val="clear"/>
            <w:vAlign w:val="center"/>
          </w:tcPr>
          <w:p>
            <w:pPr>
              <w:spacing w:before="20" w:after="20" w:line="252" w:lineRule="auto"/>
            </w:pPr>
            <w:r/>
            <w:r>
              <w:rPr>
                <w:rFonts w:ascii="Calibri" w:hAnsi="Calibri" w:eastAsia="Calibri"/>
                <w:b w:val="0"/>
                <w:i w:val="0"/>
                <w:color w:val="1A1A1A"/>
                <w:sz w:val="18"/>
              </w:rPr>
              <w:t>After Board agreement</w:t>
            </w:r>
          </w:p>
        </w:tc>
        <w:tc>
          <w:tcPr>
            <w:tcW w:w="1600" w:type="dxa"/>
            <w:shd w:fill="FFFFFF" w:val="clear"/>
            <w:vAlign w:val="center"/>
          </w:tcPr>
          <w:p>
            <w:pPr>
              <w:spacing w:before="20" w:after="20" w:line="252" w:lineRule="auto"/>
            </w:pPr>
            <w:r/>
            <w:r>
              <w:rPr>
                <w:rFonts w:ascii="Calibri" w:hAnsi="Calibri" w:eastAsia="Calibri"/>
                <w:b w:val="0"/>
                <w:i w:val="0"/>
                <w:color w:val="1A1A1A"/>
                <w:sz w:val="18"/>
              </w:rPr>
              <w:t>Working party</w:t>
            </w:r>
          </w:p>
        </w:tc>
        <w:tc>
          <w:tcPr>
            <w:tcW w:w="6280" w:type="dxa"/>
            <w:shd w:fill="FFFFFF" w:val="clear"/>
            <w:vAlign w:val="center"/>
          </w:tcPr>
          <w:p>
            <w:pPr>
              <w:spacing w:before="20" w:after="20" w:line="252" w:lineRule="auto"/>
            </w:pPr>
            <w:r/>
            <w:r>
              <w:rPr>
                <w:rFonts w:ascii="Calibri" w:hAnsi="Calibri" w:eastAsia="Calibri"/>
                <w:b w:val="0"/>
                <w:i w:val="0"/>
                <w:color w:val="1A1A1A"/>
                <w:sz w:val="18"/>
              </w:rPr>
              <w:t>Six months to work through the plan and roll it out, if the Board says yes. Not yet approved.</w:t>
            </w:r>
          </w:p>
        </w:tc>
      </w:tr>
      <w:tr>
        <w:trPr>
          <w:cantSplit/>
        </w:trPr>
        <w:tc>
          <w:tcPr>
            <w:tcW w:w="2200" w:type="dxa"/>
            <w:shd w:fill="F4F7F4" w:val="clear"/>
            <w:vAlign w:val="center"/>
          </w:tcPr>
          <w:p>
            <w:pPr>
              <w:spacing w:before="20" w:after="20" w:line="252" w:lineRule="auto"/>
            </w:pPr>
            <w:r/>
            <w:r>
              <w:rPr>
                <w:rFonts w:ascii="Calibri" w:hAnsi="Calibri" w:eastAsia="Calibri"/>
                <w:b w:val="0"/>
                <w:i w:val="0"/>
                <w:color w:val="1A1A1A"/>
                <w:sz w:val="18"/>
              </w:rPr>
              <w:t>2027 salary review</w:t>
            </w:r>
          </w:p>
        </w:tc>
        <w:tc>
          <w:tcPr>
            <w:tcW w:w="1600" w:type="dxa"/>
            <w:shd w:fill="F4F7F4" w:val="clear"/>
            <w:vAlign w:val="center"/>
          </w:tcPr>
          <w:p>
            <w:pPr>
              <w:spacing w:before="20" w:after="20" w:line="252" w:lineRule="auto"/>
            </w:pPr>
            <w:r/>
            <w:r>
              <w:rPr>
                <w:rFonts w:ascii="Calibri" w:hAnsi="Calibri" w:eastAsia="Calibri"/>
                <w:b w:val="0"/>
                <w:i w:val="0"/>
                <w:color w:val="1A1A1A"/>
                <w:sz w:val="18"/>
              </w:rPr>
              <w:t>Board, after advice</w:t>
            </w:r>
          </w:p>
        </w:tc>
        <w:tc>
          <w:tcPr>
            <w:tcW w:w="6280" w:type="dxa"/>
            <w:shd w:fill="F4F7F4" w:val="clear"/>
            <w:vAlign w:val="center"/>
          </w:tcPr>
          <w:p>
            <w:pPr>
              <w:spacing w:before="20" w:after="20" w:line="252" w:lineRule="auto"/>
            </w:pPr>
            <w:r/>
            <w:r>
              <w:rPr>
                <w:rFonts w:ascii="Calibri" w:hAnsi="Calibri" w:eastAsia="Calibri"/>
                <w:b w:val="0"/>
                <w:i w:val="0"/>
                <w:color w:val="1A1A1A"/>
                <w:sz w:val="18"/>
              </w:rPr>
              <w:t>Only after the adviser has confirmed the 2027 minimum wage, the collective agreement, and the cost of each option.</w:t>
            </w:r>
          </w:p>
        </w:tc>
      </w:tr>
    </w:tbl>
    <w:p>
      <w:pPr>
        <w:pStyle w:val="Heading2"/>
        <w:spacing w:before="200" w:after="80"/>
      </w:pPr>
      <w:r>
        <w:rPr>
          <w:rFonts w:ascii="Calibri" w:hAnsi="Calibri" w:eastAsia="Calibri"/>
          <w:color w:val="1F3D32"/>
        </w:rPr>
        <w:t>4.2 Order of work</w:t>
      </w:r>
    </w:p>
    <w:p>
      <w:pPr>
        <w:pStyle w:val="ListBullet"/>
        <w:spacing w:before="20" w:after="20"/>
        <w:ind w:left="567"/>
      </w:pPr>
      <w:r>
        <w:rPr>
          <w:rFonts w:ascii="Calibri" w:hAnsi="Calibri" w:eastAsia="Calibri"/>
          <w:color w:val="1A1A1A"/>
          <w:sz w:val="22"/>
        </w:rPr>
        <w:t>1. Confirm actual headcount and full-time equivalents by department, including whether the total of about 40 is accurate.</w:t>
      </w:r>
    </w:p>
    <w:p>
      <w:pPr>
        <w:pStyle w:val="ListBullet"/>
        <w:spacing w:before="20" w:after="20"/>
        <w:ind w:left="567"/>
      </w:pPr>
      <w:r>
        <w:rPr>
          <w:rFonts w:ascii="Calibri" w:hAnsi="Calibri" w:eastAsia="Calibri"/>
          <w:color w:val="1A1A1A"/>
          <w:sz w:val="22"/>
        </w:rPr>
        <w:t>2. List every job title and current remit. Identify duties shared across departments, and any vacant or combined roles.</w:t>
      </w:r>
    </w:p>
    <w:p>
      <w:pPr>
        <w:pStyle w:val="ListBullet"/>
        <w:spacing w:before="20" w:after="20"/>
        <w:ind w:left="567"/>
      </w:pPr>
      <w:r>
        <w:rPr>
          <w:rFonts w:ascii="Calibri" w:hAnsi="Calibri" w:eastAsia="Calibri"/>
          <w:color w:val="1A1A1A"/>
          <w:sz w:val="22"/>
        </w:rPr>
        <w:t>3. Collect gross annual pay, contract hours, the 12- or 14-payment pattern, overtime, bonuses, benefits and employer cost.</w:t>
      </w:r>
    </w:p>
    <w:p>
      <w:pPr>
        <w:pStyle w:val="ListBullet"/>
        <w:spacing w:before="20" w:after="20"/>
        <w:ind w:left="567"/>
      </w:pPr>
      <w:r>
        <w:rPr>
          <w:rFonts w:ascii="Calibri" w:hAnsi="Calibri" w:eastAsia="Calibri"/>
          <w:color w:val="1A1A1A"/>
          <w:sz w:val="22"/>
        </w:rPr>
        <w:t>4. Confirm the applicable collective agreement and job classifications with the Spanish labour adviser and the payroll provider. BK’s meeting with the external salary and union consultant is the first step.</w:t>
      </w:r>
    </w:p>
    <w:p>
      <w:pPr>
        <w:pStyle w:val="ListBullet"/>
        <w:spacing w:before="20" w:after="20"/>
        <w:ind w:left="567"/>
      </w:pPr>
      <w:r>
        <w:rPr>
          <w:rFonts w:ascii="Calibri" w:hAnsi="Calibri" w:eastAsia="Calibri"/>
          <w:color w:val="1A1A1A"/>
          <w:sz w:val="22"/>
        </w:rPr>
        <w:t>5. Compare salaries with local recruitment evidence and with clubs of similar rounds, turnover, visitor mix and facilities.</w:t>
      </w:r>
    </w:p>
    <w:p>
      <w:pPr>
        <w:pStyle w:val="ListBullet"/>
        <w:spacing w:before="20" w:after="20"/>
        <w:ind w:left="567"/>
      </w:pPr>
      <w:r>
        <w:rPr>
          <w:rFonts w:ascii="Calibri" w:hAnsi="Calibri" w:eastAsia="Calibri"/>
          <w:color w:val="1A1A1A"/>
          <w:sz w:val="22"/>
        </w:rPr>
        <w:t>6. Agree job descriptions, levels and provisional pay bands. Identify inconsistencies and what they would cost.</w:t>
      </w:r>
    </w:p>
    <w:p>
      <w:pPr>
        <w:pStyle w:val="ListBullet"/>
        <w:spacing w:before="20" w:after="20"/>
        <w:ind w:left="567"/>
      </w:pPr>
      <w:r>
        <w:rPr>
          <w:rFonts w:ascii="Calibri" w:hAnsi="Calibri" w:eastAsia="Calibri"/>
          <w:color w:val="1A1A1A"/>
          <w:sz w:val="22"/>
        </w:rPr>
        <w:t>7. Fill the affordability model and the grade-gap template in this part.</w:t>
      </w:r>
    </w:p>
    <w:p>
      <w:pPr>
        <w:pStyle w:val="ListBullet"/>
        <w:spacing w:before="20" w:after="20"/>
        <w:ind w:left="567"/>
      </w:pPr>
      <w:r>
        <w:rPr>
          <w:rFonts w:ascii="Calibri" w:hAnsi="Calibri" w:eastAsia="Calibri"/>
          <w:color w:val="1A1A1A"/>
          <w:sz w:val="22"/>
        </w:rPr>
        <w:t>8. Prepare a phased proposal for the Board. Do not implement changes until legal, financial and consultation requirements are understood.</w:t>
      </w:r>
    </w:p>
    <w:p>
      <w:pPr>
        <w:pStyle w:val="Heading2"/>
        <w:spacing w:before="200" w:after="80"/>
      </w:pPr>
      <w:r>
        <w:rPr>
          <w:rFonts w:ascii="Calibri" w:hAnsi="Calibri" w:eastAsia="Calibri"/>
          <w:color w:val="1F3D32"/>
        </w:rPr>
        <w:t>4.3 Questions the migration plan has to close</w:t>
      </w:r>
    </w:p>
    <w:p>
      <w:pPr>
        <w:pStyle w:val="ListBullet"/>
        <w:spacing w:before="20" w:after="20"/>
        <w:ind w:left="567"/>
      </w:pPr>
      <w:r>
        <w:rPr>
          <w:rFonts w:ascii="Calibri" w:hAnsi="Calibri" w:eastAsia="Calibri"/>
          <w:color w:val="1A1A1A"/>
          <w:sz w:val="22"/>
        </w:rPr>
        <w:t>Does the 65% visitor / 35% member split refer to rounds, green-fee revenue, or the whole business?</w:t>
      </w:r>
    </w:p>
    <w:p>
      <w:pPr>
        <w:pStyle w:val="ListBullet"/>
        <w:spacing w:before="20" w:after="20"/>
        <w:ind w:left="567"/>
      </w:pPr>
      <w:r>
        <w:rPr>
          <w:rFonts w:ascii="Calibri" w:hAnsi="Calibri" w:eastAsia="Calibri"/>
          <w:color w:val="1A1A1A"/>
          <w:sz w:val="22"/>
        </w:rPr>
        <w:t>What is the actual number of employees and full-time equivalents in each department?</w:t>
      </w:r>
    </w:p>
    <w:p>
      <w:pPr>
        <w:pStyle w:val="ListBullet"/>
        <w:spacing w:before="20" w:after="20"/>
        <w:ind w:left="567"/>
      </w:pPr>
      <w:r>
        <w:rPr>
          <w:rFonts w:ascii="Calibri" w:hAnsi="Calibri" w:eastAsia="Calibri"/>
          <w:color w:val="1A1A1A"/>
          <w:sz w:val="22"/>
        </w:rPr>
        <w:t>Does the restaurant operate as a separate profit centre, with turnover and payroll reported separately?</w:t>
      </w:r>
    </w:p>
    <w:p>
      <w:pPr>
        <w:pStyle w:val="ListBullet"/>
        <w:spacing w:before="20" w:after="20"/>
        <w:ind w:left="567"/>
      </w:pPr>
      <w:r>
        <w:rPr>
          <w:rFonts w:ascii="Calibri" w:hAnsi="Calibri" w:eastAsia="Calibri"/>
          <w:color w:val="1A1A1A"/>
          <w:sz w:val="22"/>
        </w:rPr>
        <w:t>Which roles handle membership administration, golf reception, reservations, purchasing, HR and IT?</w:t>
      </w:r>
    </w:p>
    <w:p>
      <w:pPr>
        <w:pStyle w:val="ListBullet"/>
        <w:spacing w:before="20" w:after="20"/>
        <w:ind w:left="567"/>
      </w:pPr>
      <w:r>
        <w:rPr>
          <w:rFonts w:ascii="Calibri" w:hAnsi="Calibri" w:eastAsia="Calibri"/>
          <w:color w:val="1A1A1A"/>
          <w:sz w:val="22"/>
        </w:rPr>
        <w:t>What are the current contracts, working hours, seasonal patterns and collective-agreement classifications?</w:t>
      </w:r>
    </w:p>
    <w:p>
      <w:pPr>
        <w:pStyle w:val="ListBullet"/>
        <w:spacing w:before="20" w:after="20"/>
        <w:ind w:left="567"/>
      </w:pPr>
      <w:r>
        <w:rPr>
          <w:rFonts w:ascii="Calibri" w:hAnsi="Calibri" w:eastAsia="Calibri"/>
          <w:color w:val="1A1A1A"/>
          <w:sz w:val="22"/>
        </w:rPr>
        <w:t>What service level and course-condition standard does the club intend to maintain?</w:t>
      </w:r>
    </w:p>
    <w:p>
      <w:pPr>
        <w:pStyle w:val="ListBullet"/>
        <w:spacing w:before="20" w:after="20"/>
        <w:ind w:left="567"/>
      </w:pPr>
      <w:r>
        <w:rPr>
          <w:rFonts w:ascii="Calibri" w:hAnsi="Calibri" w:eastAsia="Calibri"/>
          <w:color w:val="1A1A1A"/>
          <w:sz w:val="22"/>
        </w:rPr>
        <w:t>Is pay a mix of fixed and variable? Previous Boards pushed variable pay for senior personnel. Options: none, senior roles only, or wider use.</w:t>
      </w:r>
    </w:p>
    <w:p>
      <w:pPr>
        <w:pStyle w:val="ListBullet"/>
        <w:spacing w:before="20" w:after="20"/>
        <w:ind w:left="567"/>
      </w:pPr>
      <w:r>
        <w:rPr>
          <w:rFonts w:ascii="Calibri" w:hAnsi="Calibri" w:eastAsia="Calibri"/>
          <w:color w:val="1A1A1A"/>
          <w:sz w:val="22"/>
        </w:rPr>
        <w:t>Who is the development programme for: a core team, or all staff?</w:t>
      </w:r>
    </w:p>
    <w:p>
      <w:pPr>
        <w:pStyle w:val="Heading2"/>
        <w:spacing w:before="200" w:after="80"/>
      </w:pPr>
      <w:r>
        <w:rPr>
          <w:rFonts w:ascii="Calibri" w:hAnsi="Calibri" w:eastAsia="Calibri"/>
          <w:color w:val="1F3D32"/>
        </w:rPr>
        <w:t>4.4 Salary review method for 2027</w:t>
      </w:r>
    </w:p>
    <w:p>
      <w:pPr>
        <w:spacing w:before="120" w:after="120" w:line="269" w:lineRule="auto"/>
      </w:pPr>
      <w:r>
        <w:rPr>
          <w:rFonts w:ascii="Calibri" w:hAnsi="Calibri" w:eastAsia="Calibri"/>
          <w:b w:val="0"/>
          <w:i w:val="0"/>
          <w:color w:val="1A1A1A"/>
          <w:sz w:val="22"/>
        </w:rPr>
        <w:t>Provisional method only. It is not an approved pay award. Separate verified facts (Part 1), planning assumptions, and individual illustrations (section 4.7).</w:t>
      </w:r>
    </w:p>
    <w:p>
      <w:pPr>
        <w:pStyle w:val="ListBullet"/>
        <w:spacing w:before="20" w:after="20"/>
        <w:ind w:left="567"/>
      </w:pPr>
      <w:r>
        <w:rPr>
          <w:rFonts w:ascii="Calibri" w:hAnsi="Calibri" w:eastAsia="Calibri"/>
          <w:color w:val="1A1A1A"/>
          <w:sz w:val="22"/>
        </w:rPr>
        <w:t>Test 4% and 5% inflation scenarios. These are planning assumptions, not a forecast and not an entitlement.</w:t>
      </w:r>
    </w:p>
    <w:p>
      <w:pPr>
        <w:pStyle w:val="ListBullet"/>
        <w:spacing w:before="20" w:after="20"/>
        <w:ind w:left="567"/>
      </w:pPr>
      <w:r>
        <w:rPr>
          <w:rFonts w:ascii="Calibri" w:hAnsi="Calibri" w:eastAsia="Calibri"/>
          <w:color w:val="1A1A1A"/>
          <w:sz w:val="22"/>
        </w:rPr>
        <w:t>Confirm the 2027 statutory minimum wage and the collective-agreement salary tables that apply to the club.</w:t>
      </w:r>
    </w:p>
    <w:p>
      <w:pPr>
        <w:pStyle w:val="ListBullet"/>
        <w:spacing w:before="20" w:after="20"/>
        <w:ind w:left="567"/>
      </w:pPr>
      <w:r>
        <w:rPr>
          <w:rFonts w:ascii="Calibri" w:hAnsi="Calibri" w:eastAsia="Calibri"/>
          <w:color w:val="1A1A1A"/>
          <w:sz w:val="22"/>
        </w:rPr>
        <w:t>Prepare current gross salary and total employer cost for every job, including hours, payment pattern, supplements, overtime and benefits.</w:t>
      </w:r>
    </w:p>
    <w:p>
      <w:pPr>
        <w:pStyle w:val="ListBullet"/>
        <w:spacing w:before="20" w:after="20"/>
        <w:ind w:left="567"/>
      </w:pPr>
      <w:r>
        <w:rPr>
          <w:rFonts w:ascii="Calibri" w:hAnsi="Calibri" w:eastAsia="Calibri"/>
          <w:color w:val="1A1A1A"/>
          <w:sz w:val="22"/>
        </w:rPr>
        <w:t>Model at least three budget scenarios: a 2%, 4% and 5% general increase. These are budget scenarios, not entitlements.</w:t>
      </w:r>
    </w:p>
    <w:p>
      <w:pPr>
        <w:pStyle w:val="ListBullet"/>
        <w:spacing w:before="20" w:after="20"/>
        <w:ind w:left="567"/>
      </w:pPr>
      <w:r>
        <w:rPr>
          <w:rFonts w:ascii="Calibri" w:hAnsi="Calibri" w:eastAsia="Calibri"/>
          <w:color w:val="1A1A1A"/>
          <w:sz w:val="22"/>
        </w:rPr>
        <w:t>Identify any pay below the legal or collective-agreement minimum and correct compliance before any discretionary increase.</w:t>
      </w:r>
    </w:p>
    <w:p>
      <w:pPr>
        <w:pStyle w:val="ListBullet"/>
        <w:spacing w:before="20" w:after="20"/>
        <w:ind w:left="567"/>
      </w:pPr>
      <w:r>
        <w:rPr>
          <w:rFonts w:ascii="Calibri" w:hAnsi="Calibri" w:eastAsia="Calibri"/>
          <w:color w:val="1A1A1A"/>
          <w:sz w:val="22"/>
        </w:rPr>
        <w:t>Review internal fairness by grade, responsibility, skills, performance, and recruitment or retention risk.</w:t>
      </w:r>
    </w:p>
    <w:p>
      <w:pPr>
        <w:pStyle w:val="ListBullet"/>
        <w:spacing w:before="20" w:after="20"/>
        <w:ind w:left="567"/>
      </w:pPr>
      <w:r>
        <w:rPr>
          <w:rFonts w:ascii="Calibri" w:hAnsi="Calibri" w:eastAsia="Calibri"/>
          <w:color w:val="1A1A1A"/>
          <w:sz w:val="22"/>
        </w:rPr>
        <w:t>Estimate the total annual employer cost of each scenario, including employer social security and salary-linked supplements.</w:t>
      </w:r>
    </w:p>
    <w:p>
      <w:pPr>
        <w:pStyle w:val="ListBullet"/>
        <w:spacing w:before="20" w:after="20"/>
        <w:ind w:left="567"/>
      </w:pPr>
      <w:r>
        <w:rPr>
          <w:rFonts w:ascii="Calibri" w:hAnsi="Calibri" w:eastAsia="Calibri"/>
          <w:color w:val="1A1A1A"/>
          <w:sz w:val="22"/>
        </w:rPr>
        <w:t>Consider targeted support for lower-paid staff as well as a general increase. Use objective criteria and obtain a legal review.</w:t>
      </w:r>
    </w:p>
    <w:p>
      <w:pPr>
        <w:pStyle w:val="ListBullet"/>
        <w:spacing w:before="20" w:after="20"/>
        <w:ind w:left="567"/>
      </w:pPr>
      <w:r>
        <w:rPr>
          <w:rFonts w:ascii="Calibri" w:hAnsi="Calibri" w:eastAsia="Calibri"/>
          <w:color w:val="1A1A1A"/>
          <w:sz w:val="22"/>
        </w:rPr>
        <w:t>Present options, cost, rationale and a proposed implementation date to the Board.</w:t>
      </w:r>
    </w:p>
    <w:p>
      <w:pPr>
        <w:pStyle w:val="Heading2"/>
        <w:spacing w:before="200" w:after="80"/>
      </w:pPr>
      <w:r>
        <w:rPr>
          <w:rFonts w:ascii="Calibri" w:hAnsi="Calibri" w:eastAsia="Calibri"/>
          <w:color w:val="1F3D32"/>
        </w:rPr>
        <w:t>4.5 Affordability — proposed budget</w:t>
      </w:r>
    </w:p>
    <w:p>
      <w:pPr>
        <w:spacing w:before="120" w:after="120" w:line="269" w:lineRule="auto"/>
      </w:pPr>
      <w:r>
        <w:rPr>
          <w:rFonts w:ascii="Calibri" w:hAnsi="Calibri" w:eastAsia="Calibri"/>
          <w:b w:val="0"/>
          <w:i w:val="0"/>
          <w:color w:val="1A1A1A"/>
          <w:sz w:val="22"/>
        </w:rPr>
        <w:t>Copy the current-actual figures from section 1.6 into the first money column once CG has completed them. The proposed column is the cost of moving to the Part 2 bands, not a decision to do so.</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3400"/>
        <w:gridCol w:w="1800"/>
        <w:gridCol w:w="2000"/>
        <w:gridCol w:w="2880"/>
      </w:tblGrid>
      <w:tr>
        <w:trPr>
          <w:tblHeader/>
          <w:cantSplit/>
        </w:trPr>
        <w:tc>
          <w:tcPr>
            <w:tcW w:w="3400" w:type="dxa"/>
            <w:shd w:fill="1B4D3E" w:val="clear"/>
            <w:vAlign w:val="center"/>
          </w:tcPr>
          <w:p>
            <w:pPr>
              <w:spacing w:before="20" w:after="20" w:line="252" w:lineRule="auto"/>
            </w:pPr>
            <w:r/>
            <w:r>
              <w:rPr>
                <w:rFonts w:ascii="Calibri" w:hAnsi="Calibri" w:eastAsia="Calibri"/>
                <w:b/>
                <w:i w:val="0"/>
                <w:color w:val="FFFFFF"/>
                <w:sz w:val="16"/>
              </w:rPr>
              <w:t>Measure</w:t>
            </w:r>
          </w:p>
        </w:tc>
        <w:tc>
          <w:tcPr>
            <w:tcW w:w="1800" w:type="dxa"/>
            <w:shd w:fill="1B4D3E" w:val="clear"/>
            <w:vAlign w:val="center"/>
          </w:tcPr>
          <w:p>
            <w:pPr>
              <w:spacing w:before="20" w:after="20" w:line="252" w:lineRule="auto"/>
            </w:pPr>
            <w:r/>
            <w:r>
              <w:rPr>
                <w:rFonts w:ascii="Calibri" w:hAnsi="Calibri" w:eastAsia="Calibri"/>
                <w:b/>
                <w:i w:val="0"/>
                <w:color w:val="FFFFFF"/>
                <w:sz w:val="16"/>
              </w:rPr>
              <w:t>Current actual (€)</w:t>
            </w:r>
          </w:p>
        </w:tc>
        <w:tc>
          <w:tcPr>
            <w:tcW w:w="2000" w:type="dxa"/>
            <w:shd w:fill="1B4D3E" w:val="clear"/>
            <w:vAlign w:val="center"/>
          </w:tcPr>
          <w:p>
            <w:pPr>
              <w:spacing w:before="20" w:after="20" w:line="252" w:lineRule="auto"/>
            </w:pPr>
            <w:r/>
            <w:r>
              <w:rPr>
                <w:rFonts w:ascii="Calibri" w:hAnsi="Calibri" w:eastAsia="Calibri"/>
                <w:b/>
                <w:i w:val="0"/>
                <w:color w:val="FFFFFF"/>
                <w:sz w:val="16"/>
              </w:rPr>
              <w:t>Proposed budget (€)</w:t>
            </w:r>
          </w:p>
        </w:tc>
        <w:tc>
          <w:tcPr>
            <w:tcW w:w="2880" w:type="dxa"/>
            <w:shd w:fill="1B4D3E" w:val="clear"/>
            <w:vAlign w:val="center"/>
          </w:tcPr>
          <w:p>
            <w:pPr>
              <w:spacing w:before="20" w:after="20" w:line="252" w:lineRule="auto"/>
            </w:pPr>
            <w:r/>
            <w:r>
              <w:rPr>
                <w:rFonts w:ascii="Calibri" w:hAnsi="Calibri" w:eastAsia="Calibri"/>
                <w:b/>
                <w:i w:val="0"/>
                <w:color w:val="FFFFFF"/>
                <w:sz w:val="16"/>
              </w:rPr>
              <w:t>Notes</w:t>
            </w:r>
          </w:p>
        </w:tc>
      </w:tr>
      <w:tr>
        <w:trPr>
          <w:cantSplit/>
        </w:trPr>
        <w:tc>
          <w:tcPr>
            <w:tcW w:w="3400" w:type="dxa"/>
            <w:shd w:fill="FFFFFF" w:val="clear"/>
            <w:vAlign w:val="center"/>
          </w:tcPr>
          <w:p>
            <w:pPr>
              <w:spacing w:before="20" w:after="20" w:line="252" w:lineRule="auto"/>
            </w:pPr>
            <w:r/>
            <w:r>
              <w:rPr>
                <w:rFonts w:ascii="Calibri" w:hAnsi="Calibri" w:eastAsia="Calibri"/>
                <w:b w:val="0"/>
                <w:i w:val="0"/>
                <w:color w:val="1A1A1A"/>
                <w:sz w:val="16"/>
              </w:rPr>
              <w:t>Gross management payroll</w:t>
            </w:r>
          </w:p>
        </w:tc>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2000" w:type="dxa"/>
            <w:shd w:fill="FFFFFF" w:val="clear"/>
            <w:vAlign w:val="center"/>
          </w:tcPr>
          <w:p>
            <w:pPr>
              <w:spacing w:before="20" w:after="20" w:line="252" w:lineRule="auto"/>
            </w:pPr>
            <w:r/>
            <w:r>
              <w:rPr>
                <w:rFonts w:ascii="Calibri" w:hAnsi="Calibri" w:eastAsia="Calibri"/>
                <w:b w:val="0"/>
                <w:i w:val="0"/>
                <w:color w:val="1A1A1A"/>
                <w:sz w:val="16"/>
              </w:rPr>
            </w:r>
          </w:p>
        </w:tc>
        <w:tc>
          <w:tcPr>
            <w:tcW w:w="288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3400" w:type="dxa"/>
            <w:shd w:fill="F4F7F4" w:val="clear"/>
            <w:vAlign w:val="center"/>
          </w:tcPr>
          <w:p>
            <w:pPr>
              <w:spacing w:before="20" w:after="20" w:line="252" w:lineRule="auto"/>
            </w:pPr>
            <w:r/>
            <w:r>
              <w:rPr>
                <w:rFonts w:ascii="Calibri" w:hAnsi="Calibri" w:eastAsia="Calibri"/>
                <w:b w:val="0"/>
                <w:i w:val="0"/>
                <w:color w:val="1A1A1A"/>
                <w:sz w:val="16"/>
              </w:rPr>
              <w:t>Gross course payroll</w:t>
            </w:r>
          </w:p>
        </w:tc>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2000" w:type="dxa"/>
            <w:shd w:fill="F4F7F4" w:val="clear"/>
            <w:vAlign w:val="center"/>
          </w:tcPr>
          <w:p>
            <w:pPr>
              <w:spacing w:before="20" w:after="20" w:line="252" w:lineRule="auto"/>
            </w:pPr>
            <w:r/>
            <w:r>
              <w:rPr>
                <w:rFonts w:ascii="Calibri" w:hAnsi="Calibri" w:eastAsia="Calibri"/>
                <w:b w:val="0"/>
                <w:i w:val="0"/>
                <w:color w:val="1A1A1A"/>
                <w:sz w:val="16"/>
              </w:rPr>
            </w:r>
          </w:p>
        </w:tc>
        <w:tc>
          <w:tcPr>
            <w:tcW w:w="288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3400" w:type="dxa"/>
            <w:shd w:fill="FFFFFF" w:val="clear"/>
            <w:vAlign w:val="center"/>
          </w:tcPr>
          <w:p>
            <w:pPr>
              <w:spacing w:before="20" w:after="20" w:line="252" w:lineRule="auto"/>
            </w:pPr>
            <w:r/>
            <w:r>
              <w:rPr>
                <w:rFonts w:ascii="Calibri" w:hAnsi="Calibri" w:eastAsia="Calibri"/>
                <w:b w:val="0"/>
                <w:i w:val="0"/>
                <w:color w:val="1A1A1A"/>
                <w:sz w:val="16"/>
              </w:rPr>
              <w:t>Gross golf operations payroll</w:t>
            </w:r>
          </w:p>
        </w:tc>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2000" w:type="dxa"/>
            <w:shd w:fill="FFFFFF" w:val="clear"/>
            <w:vAlign w:val="center"/>
          </w:tcPr>
          <w:p>
            <w:pPr>
              <w:spacing w:before="20" w:after="20" w:line="252" w:lineRule="auto"/>
            </w:pPr>
            <w:r/>
            <w:r>
              <w:rPr>
                <w:rFonts w:ascii="Calibri" w:hAnsi="Calibri" w:eastAsia="Calibri"/>
                <w:b w:val="0"/>
                <w:i w:val="0"/>
                <w:color w:val="1A1A1A"/>
                <w:sz w:val="16"/>
              </w:rPr>
            </w:r>
          </w:p>
        </w:tc>
        <w:tc>
          <w:tcPr>
            <w:tcW w:w="288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3400" w:type="dxa"/>
            <w:shd w:fill="F4F7F4" w:val="clear"/>
            <w:vAlign w:val="center"/>
          </w:tcPr>
          <w:p>
            <w:pPr>
              <w:spacing w:before="20" w:after="20" w:line="252" w:lineRule="auto"/>
            </w:pPr>
            <w:r/>
            <w:r>
              <w:rPr>
                <w:rFonts w:ascii="Calibri" w:hAnsi="Calibri" w:eastAsia="Calibri"/>
                <w:b w:val="0"/>
                <w:i w:val="0"/>
                <w:color w:val="1A1A1A"/>
                <w:sz w:val="16"/>
              </w:rPr>
              <w:t>Gross finance / admin payroll</w:t>
            </w:r>
          </w:p>
        </w:tc>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2000" w:type="dxa"/>
            <w:shd w:fill="F4F7F4" w:val="clear"/>
            <w:vAlign w:val="center"/>
          </w:tcPr>
          <w:p>
            <w:pPr>
              <w:spacing w:before="20" w:after="20" w:line="252" w:lineRule="auto"/>
            </w:pPr>
            <w:r/>
            <w:r>
              <w:rPr>
                <w:rFonts w:ascii="Calibri" w:hAnsi="Calibri" w:eastAsia="Calibri"/>
                <w:b w:val="0"/>
                <w:i w:val="0"/>
                <w:color w:val="1A1A1A"/>
                <w:sz w:val="16"/>
              </w:rPr>
            </w:r>
          </w:p>
        </w:tc>
        <w:tc>
          <w:tcPr>
            <w:tcW w:w="288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3400" w:type="dxa"/>
            <w:shd w:fill="FFFFFF" w:val="clear"/>
            <w:vAlign w:val="center"/>
          </w:tcPr>
          <w:p>
            <w:pPr>
              <w:spacing w:before="20" w:after="20" w:line="252" w:lineRule="auto"/>
            </w:pPr>
            <w:r/>
            <w:r>
              <w:rPr>
                <w:rFonts w:ascii="Calibri" w:hAnsi="Calibri" w:eastAsia="Calibri"/>
                <w:b w:val="0"/>
                <w:i w:val="0"/>
                <w:color w:val="1A1A1A"/>
                <w:sz w:val="16"/>
              </w:rPr>
              <w:t>Gross clubhouse / restaurant payroll</w:t>
            </w:r>
          </w:p>
        </w:tc>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2000" w:type="dxa"/>
            <w:shd w:fill="FFFFFF" w:val="clear"/>
            <w:vAlign w:val="center"/>
          </w:tcPr>
          <w:p>
            <w:pPr>
              <w:spacing w:before="20" w:after="20" w:line="252" w:lineRule="auto"/>
            </w:pPr>
            <w:r/>
            <w:r>
              <w:rPr>
                <w:rFonts w:ascii="Calibri" w:hAnsi="Calibri" w:eastAsia="Calibri"/>
                <w:b w:val="0"/>
                <w:i w:val="0"/>
                <w:color w:val="1A1A1A"/>
                <w:sz w:val="16"/>
              </w:rPr>
            </w:r>
          </w:p>
        </w:tc>
        <w:tc>
          <w:tcPr>
            <w:tcW w:w="288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3400" w:type="dxa"/>
            <w:shd w:fill="F4F7F4" w:val="clear"/>
            <w:vAlign w:val="center"/>
          </w:tcPr>
          <w:p>
            <w:pPr>
              <w:spacing w:before="20" w:after="20" w:line="252" w:lineRule="auto"/>
            </w:pPr>
            <w:r/>
            <w:r>
              <w:rPr>
                <w:rFonts w:ascii="Calibri" w:hAnsi="Calibri" w:eastAsia="Calibri"/>
                <w:b w:val="0"/>
                <w:i w:val="0"/>
                <w:color w:val="1A1A1A"/>
                <w:sz w:val="16"/>
              </w:rPr>
              <w:t>Overtime, bonuses and variable pay</w:t>
            </w:r>
          </w:p>
        </w:tc>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2000" w:type="dxa"/>
            <w:shd w:fill="F4F7F4" w:val="clear"/>
            <w:vAlign w:val="center"/>
          </w:tcPr>
          <w:p>
            <w:pPr>
              <w:spacing w:before="20" w:after="20" w:line="252" w:lineRule="auto"/>
            </w:pPr>
            <w:r/>
            <w:r>
              <w:rPr>
                <w:rFonts w:ascii="Calibri" w:hAnsi="Calibri" w:eastAsia="Calibri"/>
                <w:b w:val="0"/>
                <w:i w:val="0"/>
                <w:color w:val="1A1A1A"/>
                <w:sz w:val="16"/>
              </w:rPr>
            </w:r>
          </w:p>
        </w:tc>
        <w:tc>
          <w:tcPr>
            <w:tcW w:w="288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3400" w:type="dxa"/>
            <w:shd w:fill="FFFFFF" w:val="clear"/>
            <w:vAlign w:val="center"/>
          </w:tcPr>
          <w:p>
            <w:pPr>
              <w:spacing w:before="20" w:after="20" w:line="252" w:lineRule="auto"/>
            </w:pPr>
            <w:r/>
            <w:r>
              <w:rPr>
                <w:rFonts w:ascii="Calibri" w:hAnsi="Calibri" w:eastAsia="Calibri"/>
                <w:b w:val="0"/>
                <w:i w:val="0"/>
                <w:color w:val="1A1A1A"/>
                <w:sz w:val="16"/>
              </w:rPr>
              <w:t>Employer social security and other employment costs</w:t>
            </w:r>
          </w:p>
        </w:tc>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2000" w:type="dxa"/>
            <w:shd w:fill="FFFFFF" w:val="clear"/>
            <w:vAlign w:val="center"/>
          </w:tcPr>
          <w:p>
            <w:pPr>
              <w:spacing w:before="20" w:after="20" w:line="252" w:lineRule="auto"/>
            </w:pPr>
            <w:r/>
            <w:r>
              <w:rPr>
                <w:rFonts w:ascii="Calibri" w:hAnsi="Calibri" w:eastAsia="Calibri"/>
                <w:b w:val="0"/>
                <w:i w:val="0"/>
                <w:color w:val="1A1A1A"/>
                <w:sz w:val="16"/>
              </w:rPr>
            </w:r>
          </w:p>
        </w:tc>
        <w:tc>
          <w:tcPr>
            <w:tcW w:w="2880" w:type="dxa"/>
            <w:shd w:fill="FFFFFF" w:val="clear"/>
            <w:vAlign w:val="center"/>
          </w:tcPr>
          <w:p>
            <w:pPr>
              <w:spacing w:before="20" w:after="20" w:line="252" w:lineRule="auto"/>
            </w:pPr>
            <w:r/>
            <w:r>
              <w:rPr>
                <w:rFonts w:ascii="Calibri" w:hAnsi="Calibri" w:eastAsia="Calibri"/>
                <w:b w:val="0"/>
                <w:i w:val="0"/>
                <w:color w:val="1A1A1A"/>
                <w:sz w:val="16"/>
              </w:rPr>
              <w:t>Replace any 30% illustration with payroll-provider figures.</w:t>
            </w:r>
          </w:p>
        </w:tc>
      </w:tr>
      <w:tr>
        <w:trPr>
          <w:cantSplit/>
        </w:trPr>
        <w:tc>
          <w:tcPr>
            <w:tcW w:w="3400" w:type="dxa"/>
            <w:shd w:fill="F4F7F4" w:val="clear"/>
            <w:vAlign w:val="center"/>
          </w:tcPr>
          <w:p>
            <w:pPr>
              <w:spacing w:before="20" w:after="20" w:line="252" w:lineRule="auto"/>
            </w:pPr>
            <w:r/>
            <w:r>
              <w:rPr>
                <w:rFonts w:ascii="Calibri" w:hAnsi="Calibri" w:eastAsia="Calibri"/>
                <w:b w:val="0"/>
                <w:i w:val="0"/>
                <w:color w:val="1A1A1A"/>
                <w:sz w:val="16"/>
              </w:rPr>
              <w:t>Temporary staff / outsourced labour</w:t>
            </w:r>
          </w:p>
        </w:tc>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2000" w:type="dxa"/>
            <w:shd w:fill="F4F7F4" w:val="clear"/>
            <w:vAlign w:val="center"/>
          </w:tcPr>
          <w:p>
            <w:pPr>
              <w:spacing w:before="20" w:after="20" w:line="252" w:lineRule="auto"/>
            </w:pPr>
            <w:r/>
            <w:r>
              <w:rPr>
                <w:rFonts w:ascii="Calibri" w:hAnsi="Calibri" w:eastAsia="Calibri"/>
                <w:b w:val="0"/>
                <w:i w:val="0"/>
                <w:color w:val="1A1A1A"/>
                <w:sz w:val="16"/>
              </w:rPr>
            </w:r>
          </w:p>
        </w:tc>
        <w:tc>
          <w:tcPr>
            <w:tcW w:w="288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3400" w:type="dxa"/>
            <w:shd w:fill="FFFFFF" w:val="clear"/>
            <w:vAlign w:val="center"/>
          </w:tcPr>
          <w:p>
            <w:pPr>
              <w:spacing w:before="20" w:after="20" w:line="252" w:lineRule="auto"/>
            </w:pPr>
            <w:r/>
            <w:r>
              <w:rPr>
                <w:rFonts w:ascii="Calibri" w:hAnsi="Calibri" w:eastAsia="Calibri"/>
                <w:b w:val="0"/>
                <w:i w:val="0"/>
                <w:color w:val="1A1A1A"/>
                <w:sz w:val="16"/>
              </w:rPr>
              <w:t>Total employment cost</w:t>
            </w:r>
          </w:p>
        </w:tc>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2000" w:type="dxa"/>
            <w:shd w:fill="FFFFFF" w:val="clear"/>
            <w:vAlign w:val="center"/>
          </w:tcPr>
          <w:p>
            <w:pPr>
              <w:spacing w:before="20" w:after="20" w:line="252" w:lineRule="auto"/>
            </w:pPr>
            <w:r/>
            <w:r>
              <w:rPr>
                <w:rFonts w:ascii="Calibri" w:hAnsi="Calibri" w:eastAsia="Calibri"/>
                <w:b w:val="0"/>
                <w:i w:val="0"/>
                <w:color w:val="1A1A1A"/>
                <w:sz w:val="16"/>
              </w:rPr>
            </w:r>
          </w:p>
        </w:tc>
        <w:tc>
          <w:tcPr>
            <w:tcW w:w="288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3400" w:type="dxa"/>
            <w:shd w:fill="F4F7F4" w:val="clear"/>
            <w:vAlign w:val="center"/>
          </w:tcPr>
          <w:p>
            <w:pPr>
              <w:spacing w:before="20" w:after="20" w:line="252" w:lineRule="auto"/>
            </w:pPr>
            <w:r/>
            <w:r>
              <w:rPr>
                <w:rFonts w:ascii="Calibri" w:hAnsi="Calibri" w:eastAsia="Calibri"/>
                <w:b w:val="0"/>
                <w:i w:val="0"/>
                <w:color w:val="1A1A1A"/>
                <w:sz w:val="16"/>
              </w:rPr>
              <w:t>Total club turnover</w:t>
            </w:r>
          </w:p>
        </w:tc>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2000" w:type="dxa"/>
            <w:shd w:fill="F4F7F4" w:val="clear"/>
            <w:vAlign w:val="center"/>
          </w:tcPr>
          <w:p>
            <w:pPr>
              <w:spacing w:before="20" w:after="20" w:line="252" w:lineRule="auto"/>
            </w:pPr>
            <w:r/>
            <w:r>
              <w:rPr>
                <w:rFonts w:ascii="Calibri" w:hAnsi="Calibri" w:eastAsia="Calibri"/>
                <w:b w:val="0"/>
                <w:i w:val="0"/>
                <w:color w:val="1A1A1A"/>
                <w:sz w:val="16"/>
              </w:rPr>
            </w:r>
          </w:p>
        </w:tc>
        <w:tc>
          <w:tcPr>
            <w:tcW w:w="2880" w:type="dxa"/>
            <w:shd w:fill="F4F7F4" w:val="clear"/>
            <w:vAlign w:val="center"/>
          </w:tcPr>
          <w:p>
            <w:pPr>
              <w:spacing w:before="20" w:after="20" w:line="252" w:lineRule="auto"/>
            </w:pPr>
            <w:r/>
            <w:r>
              <w:rPr>
                <w:rFonts w:ascii="Calibri" w:hAnsi="Calibri" w:eastAsia="Calibri"/>
                <w:b w:val="0"/>
                <w:i w:val="0"/>
                <w:color w:val="1A1A1A"/>
                <w:sz w:val="16"/>
              </w:rPr>
              <w:t>Use the confirmed figure from section 1.1.</w:t>
            </w:r>
          </w:p>
        </w:tc>
      </w:tr>
      <w:tr>
        <w:trPr>
          <w:cantSplit/>
        </w:trPr>
        <w:tc>
          <w:tcPr>
            <w:tcW w:w="3400" w:type="dxa"/>
            <w:shd w:fill="FFFFFF" w:val="clear"/>
            <w:vAlign w:val="center"/>
          </w:tcPr>
          <w:p>
            <w:pPr>
              <w:spacing w:before="20" w:after="20" w:line="252" w:lineRule="auto"/>
            </w:pPr>
            <w:r/>
            <w:r>
              <w:rPr>
                <w:rFonts w:ascii="Calibri" w:hAnsi="Calibri" w:eastAsia="Calibri"/>
                <w:b w:val="0"/>
                <w:i w:val="0"/>
                <w:color w:val="1A1A1A"/>
                <w:sz w:val="16"/>
              </w:rPr>
              <w:t>Employment cost as % of turnover</w:t>
            </w:r>
          </w:p>
        </w:tc>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2000" w:type="dxa"/>
            <w:shd w:fill="FFFFFF" w:val="clear"/>
            <w:vAlign w:val="center"/>
          </w:tcPr>
          <w:p>
            <w:pPr>
              <w:spacing w:before="20" w:after="20" w:line="252" w:lineRule="auto"/>
            </w:pPr>
            <w:r/>
            <w:r>
              <w:rPr>
                <w:rFonts w:ascii="Calibri" w:hAnsi="Calibri" w:eastAsia="Calibri"/>
                <w:b w:val="0"/>
                <w:i w:val="0"/>
                <w:color w:val="1A1A1A"/>
                <w:sz w:val="16"/>
              </w:rPr>
            </w:r>
          </w:p>
        </w:tc>
        <w:tc>
          <w:tcPr>
            <w:tcW w:w="2880" w:type="dxa"/>
            <w:shd w:fill="FFFFFF" w:val="clear"/>
            <w:vAlign w:val="center"/>
          </w:tcPr>
          <w:p>
            <w:pPr>
              <w:spacing w:before="20" w:after="20" w:line="252" w:lineRule="auto"/>
            </w:pPr>
            <w:r/>
            <w:r>
              <w:rPr>
                <w:rFonts w:ascii="Calibri" w:hAnsi="Calibri" w:eastAsia="Calibri"/>
                <w:b w:val="0"/>
                <w:i w:val="0"/>
                <w:color w:val="1A1A1A"/>
                <w:sz w:val="16"/>
              </w:rPr>
              <w:t>State EPGC and EPGCR separately.</w:t>
            </w:r>
          </w:p>
        </w:tc>
      </w:tr>
    </w:tbl>
    <w:p>
      <w:pPr>
        <w:pStyle w:val="Heading2"/>
        <w:spacing w:before="200" w:after="80"/>
      </w:pPr>
      <w:r>
        <w:rPr>
          <w:rFonts w:ascii="Calibri" w:hAnsi="Calibri" w:eastAsia="Calibri"/>
          <w:color w:val="1F3D32"/>
        </w:rPr>
        <w:t>4.6 Grade and pay-gap review</w:t>
      </w:r>
    </w:p>
    <w:p>
      <w:pPr>
        <w:spacing w:before="120" w:after="120" w:line="269" w:lineRule="auto"/>
      </w:pPr>
      <w:r>
        <w:rPr>
          <w:rFonts w:ascii="Calibri" w:hAnsi="Calibri" w:eastAsia="Calibri"/>
          <w:b w:val="0"/>
          <w:i w:val="0"/>
          <w:color w:val="1A1A1A"/>
          <w:sz w:val="22"/>
        </w:rPr>
        <w:t>Review pay by job content and grade, not by personal characteristics. Record the reason for every exception. Any change to current terms goes to the Spanish labour adviser before it is communicated.</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1800"/>
        <w:gridCol w:w="1600"/>
        <w:gridCol w:w="1600"/>
        <w:gridCol w:w="1300"/>
        <w:gridCol w:w="1880"/>
        <w:gridCol w:w="1900"/>
      </w:tblGrid>
      <w:tr>
        <w:trPr>
          <w:tblHeader/>
          <w:cantSplit/>
        </w:trPr>
        <w:tc>
          <w:tcPr>
            <w:tcW w:w="1800" w:type="dxa"/>
            <w:shd w:fill="1B4D3E" w:val="clear"/>
            <w:vAlign w:val="center"/>
          </w:tcPr>
          <w:p>
            <w:pPr>
              <w:spacing w:before="20" w:after="20" w:line="252" w:lineRule="auto"/>
            </w:pPr>
            <w:r/>
            <w:r>
              <w:rPr>
                <w:rFonts w:ascii="Calibri" w:hAnsi="Calibri" w:eastAsia="Calibri"/>
                <w:b/>
                <w:i w:val="0"/>
                <w:color w:val="FFFFFF"/>
                <w:sz w:val="16"/>
              </w:rPr>
              <w:t>Job title</w:t>
            </w:r>
          </w:p>
        </w:tc>
        <w:tc>
          <w:tcPr>
            <w:tcW w:w="1600" w:type="dxa"/>
            <w:shd w:fill="1B4D3E" w:val="clear"/>
            <w:vAlign w:val="center"/>
          </w:tcPr>
          <w:p>
            <w:pPr>
              <w:spacing w:before="20" w:after="20" w:line="252" w:lineRule="auto"/>
            </w:pPr>
            <w:r/>
            <w:r>
              <w:rPr>
                <w:rFonts w:ascii="Calibri" w:hAnsi="Calibri" w:eastAsia="Calibri"/>
                <w:b/>
                <w:i w:val="0"/>
                <w:color w:val="FFFFFF"/>
                <w:sz w:val="16"/>
              </w:rPr>
              <w:t>Current gross pay (€)</w:t>
            </w:r>
          </w:p>
        </w:tc>
        <w:tc>
          <w:tcPr>
            <w:tcW w:w="1600" w:type="dxa"/>
            <w:shd w:fill="1B4D3E" w:val="clear"/>
            <w:vAlign w:val="center"/>
          </w:tcPr>
          <w:p>
            <w:pPr>
              <w:spacing w:before="20" w:after="20" w:line="252" w:lineRule="auto"/>
            </w:pPr>
            <w:r/>
            <w:r>
              <w:rPr>
                <w:rFonts w:ascii="Calibri" w:hAnsi="Calibri" w:eastAsia="Calibri"/>
                <w:b/>
                <w:i w:val="0"/>
                <w:color w:val="FFFFFF"/>
                <w:sz w:val="16"/>
              </w:rPr>
              <w:t>Proposed band (€)</w:t>
            </w:r>
          </w:p>
        </w:tc>
        <w:tc>
          <w:tcPr>
            <w:tcW w:w="1300" w:type="dxa"/>
            <w:shd w:fill="1B4D3E" w:val="clear"/>
            <w:vAlign w:val="center"/>
          </w:tcPr>
          <w:p>
            <w:pPr>
              <w:spacing w:before="20" w:after="20" w:line="252" w:lineRule="auto"/>
            </w:pPr>
            <w:r/>
            <w:r>
              <w:rPr>
                <w:rFonts w:ascii="Calibri" w:hAnsi="Calibri" w:eastAsia="Calibri"/>
                <w:b/>
                <w:i w:val="0"/>
                <w:color w:val="FFFFFF"/>
                <w:sz w:val="16"/>
              </w:rPr>
              <w:t>Proposed grade</w:t>
            </w:r>
          </w:p>
        </w:tc>
        <w:tc>
          <w:tcPr>
            <w:tcW w:w="1880" w:type="dxa"/>
            <w:shd w:fill="1B4D3E" w:val="clear"/>
            <w:vAlign w:val="center"/>
          </w:tcPr>
          <w:p>
            <w:pPr>
              <w:spacing w:before="20" w:after="20" w:line="252" w:lineRule="auto"/>
            </w:pPr>
            <w:r/>
            <w:r>
              <w:rPr>
                <w:rFonts w:ascii="Calibri" w:hAnsi="Calibri" w:eastAsia="Calibri"/>
                <w:b/>
                <w:i w:val="0"/>
                <w:color w:val="FFFFFF"/>
                <w:sz w:val="16"/>
              </w:rPr>
              <w:t>Gap / action</w:t>
            </w:r>
          </w:p>
        </w:tc>
        <w:tc>
          <w:tcPr>
            <w:tcW w:w="1900" w:type="dxa"/>
            <w:shd w:fill="1B4D3E" w:val="clear"/>
            <w:vAlign w:val="center"/>
          </w:tcPr>
          <w:p>
            <w:pPr>
              <w:spacing w:before="20" w:after="20" w:line="252" w:lineRule="auto"/>
            </w:pPr>
            <w:r/>
            <w:r>
              <w:rPr>
                <w:rFonts w:ascii="Calibri" w:hAnsi="Calibri" w:eastAsia="Calibri"/>
                <w:b/>
                <w:i w:val="0"/>
                <w:color w:val="FFFFFF"/>
                <w:sz w:val="16"/>
              </w:rPr>
              <w:t>Evidence / decision</w:t>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1600" w:type="dxa"/>
            <w:shd w:fill="FFFFFF" w:val="clear"/>
            <w:vAlign w:val="center"/>
          </w:tcPr>
          <w:p>
            <w:pPr>
              <w:spacing w:before="20" w:after="20" w:line="252" w:lineRule="auto"/>
            </w:pPr>
            <w:r/>
            <w:r>
              <w:rPr>
                <w:rFonts w:ascii="Calibri" w:hAnsi="Calibri" w:eastAsia="Calibri"/>
                <w:b w:val="0"/>
                <w:i w:val="0"/>
                <w:color w:val="1A1A1A"/>
                <w:sz w:val="16"/>
              </w:rPr>
            </w:r>
          </w:p>
        </w:tc>
        <w:tc>
          <w:tcPr>
            <w:tcW w:w="1600" w:type="dxa"/>
            <w:shd w:fill="FFFFFF" w:val="clear"/>
            <w:vAlign w:val="center"/>
          </w:tcPr>
          <w:p>
            <w:pPr>
              <w:spacing w:before="20" w:after="20" w:line="252" w:lineRule="auto"/>
            </w:pPr>
            <w:r/>
            <w:r>
              <w:rPr>
                <w:rFonts w:ascii="Calibri" w:hAnsi="Calibri" w:eastAsia="Calibri"/>
                <w:b w:val="0"/>
                <w:i w:val="0"/>
                <w:color w:val="1A1A1A"/>
                <w:sz w:val="16"/>
              </w:rPr>
            </w:r>
          </w:p>
        </w:tc>
        <w:tc>
          <w:tcPr>
            <w:tcW w:w="1300" w:type="dxa"/>
            <w:shd w:fill="FFFFFF" w:val="clear"/>
            <w:vAlign w:val="center"/>
          </w:tcPr>
          <w:p>
            <w:pPr>
              <w:spacing w:before="20" w:after="20" w:line="252" w:lineRule="auto"/>
            </w:pPr>
            <w:r/>
            <w:r>
              <w:rPr>
                <w:rFonts w:ascii="Calibri" w:hAnsi="Calibri" w:eastAsia="Calibri"/>
                <w:b w:val="0"/>
                <w:i w:val="0"/>
                <w:color w:val="1A1A1A"/>
                <w:sz w:val="16"/>
              </w:rPr>
            </w:r>
          </w:p>
        </w:tc>
        <w:tc>
          <w:tcPr>
            <w:tcW w:w="1880" w:type="dxa"/>
            <w:shd w:fill="FFFFFF" w:val="clear"/>
            <w:vAlign w:val="center"/>
          </w:tcPr>
          <w:p>
            <w:pPr>
              <w:spacing w:before="20" w:after="20" w:line="252" w:lineRule="auto"/>
            </w:pPr>
            <w:r/>
            <w:r>
              <w:rPr>
                <w:rFonts w:ascii="Calibri" w:hAnsi="Calibri" w:eastAsia="Calibri"/>
                <w:b w:val="0"/>
                <w:i w:val="0"/>
                <w:color w:val="1A1A1A"/>
                <w:sz w:val="16"/>
              </w:rPr>
            </w:r>
          </w:p>
        </w:tc>
        <w:tc>
          <w:tcPr>
            <w:tcW w:w="190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1600" w:type="dxa"/>
            <w:shd w:fill="F4F7F4" w:val="clear"/>
            <w:vAlign w:val="center"/>
          </w:tcPr>
          <w:p>
            <w:pPr>
              <w:spacing w:before="20" w:after="20" w:line="252" w:lineRule="auto"/>
            </w:pPr>
            <w:r/>
            <w:r>
              <w:rPr>
                <w:rFonts w:ascii="Calibri" w:hAnsi="Calibri" w:eastAsia="Calibri"/>
                <w:b w:val="0"/>
                <w:i w:val="0"/>
                <w:color w:val="1A1A1A"/>
                <w:sz w:val="16"/>
              </w:rPr>
            </w:r>
          </w:p>
        </w:tc>
        <w:tc>
          <w:tcPr>
            <w:tcW w:w="1600" w:type="dxa"/>
            <w:shd w:fill="F4F7F4" w:val="clear"/>
            <w:vAlign w:val="center"/>
          </w:tcPr>
          <w:p>
            <w:pPr>
              <w:spacing w:before="20" w:after="20" w:line="252" w:lineRule="auto"/>
            </w:pPr>
            <w:r/>
            <w:r>
              <w:rPr>
                <w:rFonts w:ascii="Calibri" w:hAnsi="Calibri" w:eastAsia="Calibri"/>
                <w:b w:val="0"/>
                <w:i w:val="0"/>
                <w:color w:val="1A1A1A"/>
                <w:sz w:val="16"/>
              </w:rPr>
            </w:r>
          </w:p>
        </w:tc>
        <w:tc>
          <w:tcPr>
            <w:tcW w:w="1300" w:type="dxa"/>
            <w:shd w:fill="F4F7F4" w:val="clear"/>
            <w:vAlign w:val="center"/>
          </w:tcPr>
          <w:p>
            <w:pPr>
              <w:spacing w:before="20" w:after="20" w:line="252" w:lineRule="auto"/>
            </w:pPr>
            <w:r/>
            <w:r>
              <w:rPr>
                <w:rFonts w:ascii="Calibri" w:hAnsi="Calibri" w:eastAsia="Calibri"/>
                <w:b w:val="0"/>
                <w:i w:val="0"/>
                <w:color w:val="1A1A1A"/>
                <w:sz w:val="16"/>
              </w:rPr>
            </w:r>
          </w:p>
        </w:tc>
        <w:tc>
          <w:tcPr>
            <w:tcW w:w="1880" w:type="dxa"/>
            <w:shd w:fill="F4F7F4" w:val="clear"/>
            <w:vAlign w:val="center"/>
          </w:tcPr>
          <w:p>
            <w:pPr>
              <w:spacing w:before="20" w:after="20" w:line="252" w:lineRule="auto"/>
            </w:pPr>
            <w:r/>
            <w:r>
              <w:rPr>
                <w:rFonts w:ascii="Calibri" w:hAnsi="Calibri" w:eastAsia="Calibri"/>
                <w:b w:val="0"/>
                <w:i w:val="0"/>
                <w:color w:val="1A1A1A"/>
                <w:sz w:val="16"/>
              </w:rPr>
            </w:r>
          </w:p>
        </w:tc>
        <w:tc>
          <w:tcPr>
            <w:tcW w:w="190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1600" w:type="dxa"/>
            <w:shd w:fill="FFFFFF" w:val="clear"/>
            <w:vAlign w:val="center"/>
          </w:tcPr>
          <w:p>
            <w:pPr>
              <w:spacing w:before="20" w:after="20" w:line="252" w:lineRule="auto"/>
            </w:pPr>
            <w:r/>
            <w:r>
              <w:rPr>
                <w:rFonts w:ascii="Calibri" w:hAnsi="Calibri" w:eastAsia="Calibri"/>
                <w:b w:val="0"/>
                <w:i w:val="0"/>
                <w:color w:val="1A1A1A"/>
                <w:sz w:val="16"/>
              </w:rPr>
            </w:r>
          </w:p>
        </w:tc>
        <w:tc>
          <w:tcPr>
            <w:tcW w:w="1600" w:type="dxa"/>
            <w:shd w:fill="FFFFFF" w:val="clear"/>
            <w:vAlign w:val="center"/>
          </w:tcPr>
          <w:p>
            <w:pPr>
              <w:spacing w:before="20" w:after="20" w:line="252" w:lineRule="auto"/>
            </w:pPr>
            <w:r/>
            <w:r>
              <w:rPr>
                <w:rFonts w:ascii="Calibri" w:hAnsi="Calibri" w:eastAsia="Calibri"/>
                <w:b w:val="0"/>
                <w:i w:val="0"/>
                <w:color w:val="1A1A1A"/>
                <w:sz w:val="16"/>
              </w:rPr>
            </w:r>
          </w:p>
        </w:tc>
        <w:tc>
          <w:tcPr>
            <w:tcW w:w="1300" w:type="dxa"/>
            <w:shd w:fill="FFFFFF" w:val="clear"/>
            <w:vAlign w:val="center"/>
          </w:tcPr>
          <w:p>
            <w:pPr>
              <w:spacing w:before="20" w:after="20" w:line="252" w:lineRule="auto"/>
            </w:pPr>
            <w:r/>
            <w:r>
              <w:rPr>
                <w:rFonts w:ascii="Calibri" w:hAnsi="Calibri" w:eastAsia="Calibri"/>
                <w:b w:val="0"/>
                <w:i w:val="0"/>
                <w:color w:val="1A1A1A"/>
                <w:sz w:val="16"/>
              </w:rPr>
            </w:r>
          </w:p>
        </w:tc>
        <w:tc>
          <w:tcPr>
            <w:tcW w:w="1880" w:type="dxa"/>
            <w:shd w:fill="FFFFFF" w:val="clear"/>
            <w:vAlign w:val="center"/>
          </w:tcPr>
          <w:p>
            <w:pPr>
              <w:spacing w:before="20" w:after="20" w:line="252" w:lineRule="auto"/>
            </w:pPr>
            <w:r/>
            <w:r>
              <w:rPr>
                <w:rFonts w:ascii="Calibri" w:hAnsi="Calibri" w:eastAsia="Calibri"/>
                <w:b w:val="0"/>
                <w:i w:val="0"/>
                <w:color w:val="1A1A1A"/>
                <w:sz w:val="16"/>
              </w:rPr>
            </w:r>
          </w:p>
        </w:tc>
        <w:tc>
          <w:tcPr>
            <w:tcW w:w="190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1600" w:type="dxa"/>
            <w:shd w:fill="F4F7F4" w:val="clear"/>
            <w:vAlign w:val="center"/>
          </w:tcPr>
          <w:p>
            <w:pPr>
              <w:spacing w:before="20" w:after="20" w:line="252" w:lineRule="auto"/>
            </w:pPr>
            <w:r/>
            <w:r>
              <w:rPr>
                <w:rFonts w:ascii="Calibri" w:hAnsi="Calibri" w:eastAsia="Calibri"/>
                <w:b w:val="0"/>
                <w:i w:val="0"/>
                <w:color w:val="1A1A1A"/>
                <w:sz w:val="16"/>
              </w:rPr>
            </w:r>
          </w:p>
        </w:tc>
        <w:tc>
          <w:tcPr>
            <w:tcW w:w="1600" w:type="dxa"/>
            <w:shd w:fill="F4F7F4" w:val="clear"/>
            <w:vAlign w:val="center"/>
          </w:tcPr>
          <w:p>
            <w:pPr>
              <w:spacing w:before="20" w:after="20" w:line="252" w:lineRule="auto"/>
            </w:pPr>
            <w:r/>
            <w:r>
              <w:rPr>
                <w:rFonts w:ascii="Calibri" w:hAnsi="Calibri" w:eastAsia="Calibri"/>
                <w:b w:val="0"/>
                <w:i w:val="0"/>
                <w:color w:val="1A1A1A"/>
                <w:sz w:val="16"/>
              </w:rPr>
            </w:r>
          </w:p>
        </w:tc>
        <w:tc>
          <w:tcPr>
            <w:tcW w:w="1300" w:type="dxa"/>
            <w:shd w:fill="F4F7F4" w:val="clear"/>
            <w:vAlign w:val="center"/>
          </w:tcPr>
          <w:p>
            <w:pPr>
              <w:spacing w:before="20" w:after="20" w:line="252" w:lineRule="auto"/>
            </w:pPr>
            <w:r/>
            <w:r>
              <w:rPr>
                <w:rFonts w:ascii="Calibri" w:hAnsi="Calibri" w:eastAsia="Calibri"/>
                <w:b w:val="0"/>
                <w:i w:val="0"/>
                <w:color w:val="1A1A1A"/>
                <w:sz w:val="16"/>
              </w:rPr>
            </w:r>
          </w:p>
        </w:tc>
        <w:tc>
          <w:tcPr>
            <w:tcW w:w="1880" w:type="dxa"/>
            <w:shd w:fill="F4F7F4" w:val="clear"/>
            <w:vAlign w:val="center"/>
          </w:tcPr>
          <w:p>
            <w:pPr>
              <w:spacing w:before="20" w:after="20" w:line="252" w:lineRule="auto"/>
            </w:pPr>
            <w:r/>
            <w:r>
              <w:rPr>
                <w:rFonts w:ascii="Calibri" w:hAnsi="Calibri" w:eastAsia="Calibri"/>
                <w:b w:val="0"/>
                <w:i w:val="0"/>
                <w:color w:val="1A1A1A"/>
                <w:sz w:val="16"/>
              </w:rPr>
            </w:r>
          </w:p>
        </w:tc>
        <w:tc>
          <w:tcPr>
            <w:tcW w:w="190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1600" w:type="dxa"/>
            <w:shd w:fill="FFFFFF" w:val="clear"/>
            <w:vAlign w:val="center"/>
          </w:tcPr>
          <w:p>
            <w:pPr>
              <w:spacing w:before="20" w:after="20" w:line="252" w:lineRule="auto"/>
            </w:pPr>
            <w:r/>
            <w:r>
              <w:rPr>
                <w:rFonts w:ascii="Calibri" w:hAnsi="Calibri" w:eastAsia="Calibri"/>
                <w:b w:val="0"/>
                <w:i w:val="0"/>
                <w:color w:val="1A1A1A"/>
                <w:sz w:val="16"/>
              </w:rPr>
            </w:r>
          </w:p>
        </w:tc>
        <w:tc>
          <w:tcPr>
            <w:tcW w:w="1600" w:type="dxa"/>
            <w:shd w:fill="FFFFFF" w:val="clear"/>
            <w:vAlign w:val="center"/>
          </w:tcPr>
          <w:p>
            <w:pPr>
              <w:spacing w:before="20" w:after="20" w:line="252" w:lineRule="auto"/>
            </w:pPr>
            <w:r/>
            <w:r>
              <w:rPr>
                <w:rFonts w:ascii="Calibri" w:hAnsi="Calibri" w:eastAsia="Calibri"/>
                <w:b w:val="0"/>
                <w:i w:val="0"/>
                <w:color w:val="1A1A1A"/>
                <w:sz w:val="16"/>
              </w:rPr>
            </w:r>
          </w:p>
        </w:tc>
        <w:tc>
          <w:tcPr>
            <w:tcW w:w="1300" w:type="dxa"/>
            <w:shd w:fill="FFFFFF" w:val="clear"/>
            <w:vAlign w:val="center"/>
          </w:tcPr>
          <w:p>
            <w:pPr>
              <w:spacing w:before="20" w:after="20" w:line="252" w:lineRule="auto"/>
            </w:pPr>
            <w:r/>
            <w:r>
              <w:rPr>
                <w:rFonts w:ascii="Calibri" w:hAnsi="Calibri" w:eastAsia="Calibri"/>
                <w:b w:val="0"/>
                <w:i w:val="0"/>
                <w:color w:val="1A1A1A"/>
                <w:sz w:val="16"/>
              </w:rPr>
            </w:r>
          </w:p>
        </w:tc>
        <w:tc>
          <w:tcPr>
            <w:tcW w:w="1880" w:type="dxa"/>
            <w:shd w:fill="FFFFFF" w:val="clear"/>
            <w:vAlign w:val="center"/>
          </w:tcPr>
          <w:p>
            <w:pPr>
              <w:spacing w:before="20" w:after="20" w:line="252" w:lineRule="auto"/>
            </w:pPr>
            <w:r/>
            <w:r>
              <w:rPr>
                <w:rFonts w:ascii="Calibri" w:hAnsi="Calibri" w:eastAsia="Calibri"/>
                <w:b w:val="0"/>
                <w:i w:val="0"/>
                <w:color w:val="1A1A1A"/>
                <w:sz w:val="16"/>
              </w:rPr>
            </w:r>
          </w:p>
        </w:tc>
        <w:tc>
          <w:tcPr>
            <w:tcW w:w="190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1600" w:type="dxa"/>
            <w:shd w:fill="F4F7F4" w:val="clear"/>
            <w:vAlign w:val="center"/>
          </w:tcPr>
          <w:p>
            <w:pPr>
              <w:spacing w:before="20" w:after="20" w:line="252" w:lineRule="auto"/>
            </w:pPr>
            <w:r/>
            <w:r>
              <w:rPr>
                <w:rFonts w:ascii="Calibri" w:hAnsi="Calibri" w:eastAsia="Calibri"/>
                <w:b w:val="0"/>
                <w:i w:val="0"/>
                <w:color w:val="1A1A1A"/>
                <w:sz w:val="16"/>
              </w:rPr>
            </w:r>
          </w:p>
        </w:tc>
        <w:tc>
          <w:tcPr>
            <w:tcW w:w="1600" w:type="dxa"/>
            <w:shd w:fill="F4F7F4" w:val="clear"/>
            <w:vAlign w:val="center"/>
          </w:tcPr>
          <w:p>
            <w:pPr>
              <w:spacing w:before="20" w:after="20" w:line="252" w:lineRule="auto"/>
            </w:pPr>
            <w:r/>
            <w:r>
              <w:rPr>
                <w:rFonts w:ascii="Calibri" w:hAnsi="Calibri" w:eastAsia="Calibri"/>
                <w:b w:val="0"/>
                <w:i w:val="0"/>
                <w:color w:val="1A1A1A"/>
                <w:sz w:val="16"/>
              </w:rPr>
            </w:r>
          </w:p>
        </w:tc>
        <w:tc>
          <w:tcPr>
            <w:tcW w:w="1300" w:type="dxa"/>
            <w:shd w:fill="F4F7F4" w:val="clear"/>
            <w:vAlign w:val="center"/>
          </w:tcPr>
          <w:p>
            <w:pPr>
              <w:spacing w:before="20" w:after="20" w:line="252" w:lineRule="auto"/>
            </w:pPr>
            <w:r/>
            <w:r>
              <w:rPr>
                <w:rFonts w:ascii="Calibri" w:hAnsi="Calibri" w:eastAsia="Calibri"/>
                <w:b w:val="0"/>
                <w:i w:val="0"/>
                <w:color w:val="1A1A1A"/>
                <w:sz w:val="16"/>
              </w:rPr>
            </w:r>
          </w:p>
        </w:tc>
        <w:tc>
          <w:tcPr>
            <w:tcW w:w="1880" w:type="dxa"/>
            <w:shd w:fill="F4F7F4" w:val="clear"/>
            <w:vAlign w:val="center"/>
          </w:tcPr>
          <w:p>
            <w:pPr>
              <w:spacing w:before="20" w:after="20" w:line="252" w:lineRule="auto"/>
            </w:pPr>
            <w:r/>
            <w:r>
              <w:rPr>
                <w:rFonts w:ascii="Calibri" w:hAnsi="Calibri" w:eastAsia="Calibri"/>
                <w:b w:val="0"/>
                <w:i w:val="0"/>
                <w:color w:val="1A1A1A"/>
                <w:sz w:val="16"/>
              </w:rPr>
            </w:r>
          </w:p>
        </w:tc>
        <w:tc>
          <w:tcPr>
            <w:tcW w:w="1900" w:type="dxa"/>
            <w:shd w:fill="F4F7F4" w:val="clear"/>
            <w:vAlign w:val="center"/>
          </w:tcPr>
          <w:p>
            <w:pPr>
              <w:spacing w:before="20" w:after="20" w:line="252" w:lineRule="auto"/>
            </w:pPr>
            <w:r/>
            <w:r>
              <w:rPr>
                <w:rFonts w:ascii="Calibri" w:hAnsi="Calibri" w:eastAsia="Calibri"/>
                <w:b w:val="0"/>
                <w:i w:val="0"/>
                <w:color w:val="1A1A1A"/>
                <w:sz w:val="16"/>
              </w:rPr>
            </w:r>
          </w:p>
        </w:tc>
      </w:tr>
      <w:tr>
        <w:trPr>
          <w:cantSplit/>
        </w:trPr>
        <w:tc>
          <w:tcPr>
            <w:tcW w:w="1800" w:type="dxa"/>
            <w:shd w:fill="FFFFFF" w:val="clear"/>
            <w:vAlign w:val="center"/>
          </w:tcPr>
          <w:p>
            <w:pPr>
              <w:spacing w:before="20" w:after="20" w:line="252" w:lineRule="auto"/>
            </w:pPr>
            <w:r/>
            <w:r>
              <w:rPr>
                <w:rFonts w:ascii="Calibri" w:hAnsi="Calibri" w:eastAsia="Calibri"/>
                <w:b w:val="0"/>
                <w:i w:val="0"/>
                <w:color w:val="1A1A1A"/>
                <w:sz w:val="16"/>
              </w:rPr>
            </w:r>
          </w:p>
        </w:tc>
        <w:tc>
          <w:tcPr>
            <w:tcW w:w="1600" w:type="dxa"/>
            <w:shd w:fill="FFFFFF" w:val="clear"/>
            <w:vAlign w:val="center"/>
          </w:tcPr>
          <w:p>
            <w:pPr>
              <w:spacing w:before="20" w:after="20" w:line="252" w:lineRule="auto"/>
            </w:pPr>
            <w:r/>
            <w:r>
              <w:rPr>
                <w:rFonts w:ascii="Calibri" w:hAnsi="Calibri" w:eastAsia="Calibri"/>
                <w:b w:val="0"/>
                <w:i w:val="0"/>
                <w:color w:val="1A1A1A"/>
                <w:sz w:val="16"/>
              </w:rPr>
            </w:r>
          </w:p>
        </w:tc>
        <w:tc>
          <w:tcPr>
            <w:tcW w:w="1600" w:type="dxa"/>
            <w:shd w:fill="FFFFFF" w:val="clear"/>
            <w:vAlign w:val="center"/>
          </w:tcPr>
          <w:p>
            <w:pPr>
              <w:spacing w:before="20" w:after="20" w:line="252" w:lineRule="auto"/>
            </w:pPr>
            <w:r/>
            <w:r>
              <w:rPr>
                <w:rFonts w:ascii="Calibri" w:hAnsi="Calibri" w:eastAsia="Calibri"/>
                <w:b w:val="0"/>
                <w:i w:val="0"/>
                <w:color w:val="1A1A1A"/>
                <w:sz w:val="16"/>
              </w:rPr>
            </w:r>
          </w:p>
        </w:tc>
        <w:tc>
          <w:tcPr>
            <w:tcW w:w="1300" w:type="dxa"/>
            <w:shd w:fill="FFFFFF" w:val="clear"/>
            <w:vAlign w:val="center"/>
          </w:tcPr>
          <w:p>
            <w:pPr>
              <w:spacing w:before="20" w:after="20" w:line="252" w:lineRule="auto"/>
            </w:pPr>
            <w:r/>
            <w:r>
              <w:rPr>
                <w:rFonts w:ascii="Calibri" w:hAnsi="Calibri" w:eastAsia="Calibri"/>
                <w:b w:val="0"/>
                <w:i w:val="0"/>
                <w:color w:val="1A1A1A"/>
                <w:sz w:val="16"/>
              </w:rPr>
            </w:r>
          </w:p>
        </w:tc>
        <w:tc>
          <w:tcPr>
            <w:tcW w:w="1880" w:type="dxa"/>
            <w:shd w:fill="FFFFFF" w:val="clear"/>
            <w:vAlign w:val="center"/>
          </w:tcPr>
          <w:p>
            <w:pPr>
              <w:spacing w:before="20" w:after="20" w:line="252" w:lineRule="auto"/>
            </w:pPr>
            <w:r/>
            <w:r>
              <w:rPr>
                <w:rFonts w:ascii="Calibri" w:hAnsi="Calibri" w:eastAsia="Calibri"/>
                <w:b w:val="0"/>
                <w:i w:val="0"/>
                <w:color w:val="1A1A1A"/>
                <w:sz w:val="16"/>
              </w:rPr>
            </w:r>
          </w:p>
        </w:tc>
        <w:tc>
          <w:tcPr>
            <w:tcW w:w="1900" w:type="dxa"/>
            <w:shd w:fill="FFFFFF" w:val="clear"/>
            <w:vAlign w:val="center"/>
          </w:tcPr>
          <w:p>
            <w:pPr>
              <w:spacing w:before="20" w:after="20" w:line="252" w:lineRule="auto"/>
            </w:pPr>
            <w:r/>
            <w:r>
              <w:rPr>
                <w:rFonts w:ascii="Calibri" w:hAnsi="Calibri" w:eastAsia="Calibri"/>
                <w:b w:val="0"/>
                <w:i w:val="0"/>
                <w:color w:val="1A1A1A"/>
                <w:sz w:val="16"/>
              </w:rPr>
            </w:r>
          </w:p>
        </w:tc>
      </w:tr>
      <w:tr>
        <w:trPr>
          <w:cantSplit/>
        </w:trPr>
        <w:tc>
          <w:tcPr>
            <w:tcW w:w="1800" w:type="dxa"/>
            <w:shd w:fill="F4F7F4" w:val="clear"/>
            <w:vAlign w:val="center"/>
          </w:tcPr>
          <w:p>
            <w:pPr>
              <w:spacing w:before="20" w:after="20" w:line="252" w:lineRule="auto"/>
            </w:pPr>
            <w:r/>
            <w:r>
              <w:rPr>
                <w:rFonts w:ascii="Calibri" w:hAnsi="Calibri" w:eastAsia="Calibri"/>
                <w:b w:val="0"/>
                <w:i w:val="0"/>
                <w:color w:val="1A1A1A"/>
                <w:sz w:val="16"/>
              </w:rPr>
            </w:r>
          </w:p>
        </w:tc>
        <w:tc>
          <w:tcPr>
            <w:tcW w:w="1600" w:type="dxa"/>
            <w:shd w:fill="F4F7F4" w:val="clear"/>
            <w:vAlign w:val="center"/>
          </w:tcPr>
          <w:p>
            <w:pPr>
              <w:spacing w:before="20" w:after="20" w:line="252" w:lineRule="auto"/>
            </w:pPr>
            <w:r/>
            <w:r>
              <w:rPr>
                <w:rFonts w:ascii="Calibri" w:hAnsi="Calibri" w:eastAsia="Calibri"/>
                <w:b w:val="0"/>
                <w:i w:val="0"/>
                <w:color w:val="1A1A1A"/>
                <w:sz w:val="16"/>
              </w:rPr>
            </w:r>
          </w:p>
        </w:tc>
        <w:tc>
          <w:tcPr>
            <w:tcW w:w="1600" w:type="dxa"/>
            <w:shd w:fill="F4F7F4" w:val="clear"/>
            <w:vAlign w:val="center"/>
          </w:tcPr>
          <w:p>
            <w:pPr>
              <w:spacing w:before="20" w:after="20" w:line="252" w:lineRule="auto"/>
            </w:pPr>
            <w:r/>
            <w:r>
              <w:rPr>
                <w:rFonts w:ascii="Calibri" w:hAnsi="Calibri" w:eastAsia="Calibri"/>
                <w:b w:val="0"/>
                <w:i w:val="0"/>
                <w:color w:val="1A1A1A"/>
                <w:sz w:val="16"/>
              </w:rPr>
            </w:r>
          </w:p>
        </w:tc>
        <w:tc>
          <w:tcPr>
            <w:tcW w:w="1300" w:type="dxa"/>
            <w:shd w:fill="F4F7F4" w:val="clear"/>
            <w:vAlign w:val="center"/>
          </w:tcPr>
          <w:p>
            <w:pPr>
              <w:spacing w:before="20" w:after="20" w:line="252" w:lineRule="auto"/>
            </w:pPr>
            <w:r/>
            <w:r>
              <w:rPr>
                <w:rFonts w:ascii="Calibri" w:hAnsi="Calibri" w:eastAsia="Calibri"/>
                <w:b w:val="0"/>
                <w:i w:val="0"/>
                <w:color w:val="1A1A1A"/>
                <w:sz w:val="16"/>
              </w:rPr>
            </w:r>
          </w:p>
        </w:tc>
        <w:tc>
          <w:tcPr>
            <w:tcW w:w="1880" w:type="dxa"/>
            <w:shd w:fill="F4F7F4" w:val="clear"/>
            <w:vAlign w:val="center"/>
          </w:tcPr>
          <w:p>
            <w:pPr>
              <w:spacing w:before="20" w:after="20" w:line="252" w:lineRule="auto"/>
            </w:pPr>
            <w:r/>
            <w:r>
              <w:rPr>
                <w:rFonts w:ascii="Calibri" w:hAnsi="Calibri" w:eastAsia="Calibri"/>
                <w:b w:val="0"/>
                <w:i w:val="0"/>
                <w:color w:val="1A1A1A"/>
                <w:sz w:val="16"/>
              </w:rPr>
            </w:r>
          </w:p>
        </w:tc>
        <w:tc>
          <w:tcPr>
            <w:tcW w:w="1900" w:type="dxa"/>
            <w:shd w:fill="F4F7F4" w:val="clear"/>
            <w:vAlign w:val="center"/>
          </w:tcPr>
          <w:p>
            <w:pPr>
              <w:spacing w:before="20" w:after="20" w:line="252" w:lineRule="auto"/>
            </w:pPr>
            <w:r/>
            <w:r>
              <w:rPr>
                <w:rFonts w:ascii="Calibri" w:hAnsi="Calibri" w:eastAsia="Calibri"/>
                <w:b w:val="0"/>
                <w:i w:val="0"/>
                <w:color w:val="1A1A1A"/>
                <w:sz w:val="16"/>
              </w:rPr>
            </w:r>
          </w:p>
        </w:tc>
      </w:tr>
    </w:tbl>
    <w:p>
      <w:pPr>
        <w:pStyle w:val="Heading2"/>
        <w:spacing w:before="200" w:after="80"/>
      </w:pPr>
      <w:r>
        <w:rPr>
          <w:rFonts w:ascii="Calibri" w:hAnsi="Calibri" w:eastAsia="Calibri"/>
          <w:color w:val="1F3D32"/>
        </w:rPr>
        <w:t>4.7 Net-pay illustrations — not a proposal</w:t>
      </w:r>
    </w:p>
    <w:p>
      <w:pPr>
        <w:spacing w:before="120" w:after="120" w:line="269" w:lineRule="auto"/>
      </w:pPr>
      <w:r>
        <w:rPr>
          <w:rFonts w:ascii="Calibri" w:hAnsi="Calibri" w:eastAsia="Calibri"/>
          <w:b w:val="0"/>
          <w:i w:val="0"/>
          <w:color w:val="1A1A1A"/>
          <w:sz w:val="22"/>
        </w:rPr>
        <w:t>The gross amounts at +20% and +40% are consistent with a €17,094 baseline, rounded to the nearest euro. The tax percentages and net pay reproduce estimates supplied with the note. They are not verified individual tax outcomes, and they are not a recommended award. An earlier draft showed about €1,442 a month net on the 20% scenario. That does not match €17,067 ÷ 12. The monthly figure is about €1,422.</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1750"/>
        <w:gridCol w:w="1400"/>
        <w:gridCol w:w="1650"/>
        <w:gridCol w:w="1550"/>
        <w:gridCol w:w="1880"/>
        <w:gridCol w:w="1850"/>
      </w:tblGrid>
      <w:tr>
        <w:trPr>
          <w:tblHeader/>
          <w:cantSplit/>
        </w:trPr>
        <w:tc>
          <w:tcPr>
            <w:tcW w:w="1750" w:type="dxa"/>
            <w:shd w:fill="1B4D3E" w:val="clear"/>
            <w:vAlign w:val="center"/>
          </w:tcPr>
          <w:p>
            <w:pPr>
              <w:spacing w:before="20" w:after="20" w:line="252" w:lineRule="auto"/>
            </w:pPr>
            <w:r/>
            <w:r>
              <w:rPr>
                <w:rFonts w:ascii="Calibri" w:hAnsi="Calibri" w:eastAsia="Calibri"/>
                <w:b/>
                <w:i w:val="0"/>
                <w:color w:val="FFFFFF"/>
                <w:sz w:val="16"/>
              </w:rPr>
              <w:t>Illustration</w:t>
            </w:r>
          </w:p>
        </w:tc>
        <w:tc>
          <w:tcPr>
            <w:tcW w:w="1400" w:type="dxa"/>
            <w:shd w:fill="1B4D3E" w:val="clear"/>
            <w:vAlign w:val="center"/>
          </w:tcPr>
          <w:p>
            <w:pPr>
              <w:spacing w:before="20" w:after="20" w:line="252" w:lineRule="auto"/>
            </w:pPr>
            <w:r/>
            <w:r>
              <w:rPr>
                <w:rFonts w:ascii="Calibri" w:hAnsi="Calibri" w:eastAsia="Calibri"/>
                <w:b/>
                <w:i w:val="0"/>
                <w:color w:val="FFFFFF"/>
                <w:sz w:val="16"/>
              </w:rPr>
              <w:t>Gross annual</w:t>
            </w:r>
          </w:p>
        </w:tc>
        <w:tc>
          <w:tcPr>
            <w:tcW w:w="1650" w:type="dxa"/>
            <w:shd w:fill="1B4D3E" w:val="clear"/>
            <w:vAlign w:val="center"/>
          </w:tcPr>
          <w:p>
            <w:pPr>
              <w:spacing w:before="20" w:after="20" w:line="252" w:lineRule="auto"/>
            </w:pPr>
            <w:r/>
            <w:r>
              <w:rPr>
                <w:rFonts w:ascii="Calibri" w:hAnsi="Calibri" w:eastAsia="Calibri"/>
                <w:b/>
                <w:i w:val="0"/>
                <w:color w:val="FFFFFF"/>
                <w:sz w:val="16"/>
              </w:rPr>
              <w:t>Assumed deduction</w:t>
            </w:r>
          </w:p>
        </w:tc>
        <w:tc>
          <w:tcPr>
            <w:tcW w:w="1550" w:type="dxa"/>
            <w:shd w:fill="1B4D3E" w:val="clear"/>
            <w:vAlign w:val="center"/>
          </w:tcPr>
          <w:p>
            <w:pPr>
              <w:spacing w:before="20" w:after="20" w:line="252" w:lineRule="auto"/>
            </w:pPr>
            <w:r/>
            <w:r>
              <w:rPr>
                <w:rFonts w:ascii="Calibri" w:hAnsi="Calibri" w:eastAsia="Calibri"/>
                <w:b/>
                <w:i w:val="0"/>
                <w:color w:val="FFFFFF"/>
                <w:sz w:val="16"/>
              </w:rPr>
              <w:t>Illustrative net</w:t>
            </w:r>
          </w:p>
        </w:tc>
        <w:tc>
          <w:tcPr>
            <w:tcW w:w="1880" w:type="dxa"/>
            <w:shd w:fill="1B4D3E" w:val="clear"/>
            <w:vAlign w:val="center"/>
          </w:tcPr>
          <w:p>
            <w:pPr>
              <w:spacing w:before="20" w:after="20" w:line="252" w:lineRule="auto"/>
            </w:pPr>
            <w:r/>
            <w:r>
              <w:rPr>
                <w:rFonts w:ascii="Calibri" w:hAnsi="Calibri" w:eastAsia="Calibri"/>
                <w:b/>
                <w:i w:val="0"/>
                <w:color w:val="FFFFFF"/>
                <w:sz w:val="16"/>
              </w:rPr>
              <w:t>Net per month (÷ 12)</w:t>
            </w:r>
          </w:p>
        </w:tc>
        <w:tc>
          <w:tcPr>
            <w:tcW w:w="1850" w:type="dxa"/>
            <w:shd w:fill="1B4D3E" w:val="clear"/>
            <w:vAlign w:val="center"/>
          </w:tcPr>
          <w:p>
            <w:pPr>
              <w:spacing w:before="20" w:after="20" w:line="252" w:lineRule="auto"/>
            </w:pPr>
            <w:r/>
            <w:r>
              <w:rPr>
                <w:rFonts w:ascii="Calibri" w:hAnsi="Calibri" w:eastAsia="Calibri"/>
                <w:b/>
                <w:i w:val="0"/>
                <w:color w:val="FFFFFF"/>
                <w:sz w:val="16"/>
              </w:rPr>
              <w:t>Change vs baseline net</w:t>
            </w:r>
          </w:p>
        </w:tc>
      </w:tr>
      <w:tr>
        <w:trPr>
          <w:cantSplit/>
        </w:trPr>
        <w:tc>
          <w:tcPr>
            <w:tcW w:w="1750" w:type="dxa"/>
            <w:shd w:fill="FFFFFF" w:val="clear"/>
            <w:vAlign w:val="center"/>
          </w:tcPr>
          <w:p>
            <w:pPr>
              <w:spacing w:before="20" w:after="20" w:line="252" w:lineRule="auto"/>
            </w:pPr>
            <w:r/>
            <w:r>
              <w:rPr>
                <w:rFonts w:ascii="Calibri" w:hAnsi="Calibri" w:eastAsia="Calibri"/>
                <w:b w:val="0"/>
                <w:i w:val="0"/>
                <w:color w:val="1A1A1A"/>
                <w:sz w:val="16"/>
              </w:rPr>
              <w:t>Baseline / 2026 SMI</w:t>
            </w:r>
          </w:p>
        </w:tc>
        <w:tc>
          <w:tcPr>
            <w:tcW w:w="1400" w:type="dxa"/>
            <w:shd w:fill="FFFFFF" w:val="clear"/>
            <w:vAlign w:val="center"/>
          </w:tcPr>
          <w:p>
            <w:pPr>
              <w:spacing w:before="20" w:after="20" w:line="252" w:lineRule="auto"/>
            </w:pPr>
            <w:r/>
            <w:r>
              <w:rPr>
                <w:rFonts w:ascii="Calibri" w:hAnsi="Calibri" w:eastAsia="Calibri"/>
                <w:b w:val="0"/>
                <w:i w:val="0"/>
                <w:color w:val="1A1A1A"/>
                <w:sz w:val="16"/>
              </w:rPr>
              <w:t>€17,094</w:t>
            </w:r>
          </w:p>
        </w:tc>
        <w:tc>
          <w:tcPr>
            <w:tcW w:w="1650" w:type="dxa"/>
            <w:shd w:fill="FFFFFF" w:val="clear"/>
            <w:vAlign w:val="center"/>
          </w:tcPr>
          <w:p>
            <w:pPr>
              <w:spacing w:before="20" w:after="20" w:line="252" w:lineRule="auto"/>
            </w:pPr>
            <w:r/>
            <w:r>
              <w:rPr>
                <w:rFonts w:ascii="Calibri" w:hAnsi="Calibri" w:eastAsia="Calibri"/>
                <w:b w:val="0"/>
                <w:i w:val="0"/>
                <w:color w:val="1A1A1A"/>
                <w:sz w:val="16"/>
              </w:rPr>
              <w:t>6.5% = €1,111</w:t>
            </w:r>
          </w:p>
        </w:tc>
        <w:tc>
          <w:tcPr>
            <w:tcW w:w="1550" w:type="dxa"/>
            <w:shd w:fill="FFFFFF" w:val="clear"/>
            <w:vAlign w:val="center"/>
          </w:tcPr>
          <w:p>
            <w:pPr>
              <w:spacing w:before="20" w:after="20" w:line="252" w:lineRule="auto"/>
            </w:pPr>
            <w:r/>
            <w:r>
              <w:rPr>
                <w:rFonts w:ascii="Calibri" w:hAnsi="Calibri" w:eastAsia="Calibri"/>
                <w:b w:val="0"/>
                <w:i w:val="0"/>
                <w:color w:val="1A1A1A"/>
                <w:sz w:val="16"/>
              </w:rPr>
              <w:t>€15,983</w:t>
            </w:r>
          </w:p>
        </w:tc>
        <w:tc>
          <w:tcPr>
            <w:tcW w:w="1880" w:type="dxa"/>
            <w:shd w:fill="FFFFFF" w:val="clear"/>
            <w:vAlign w:val="center"/>
          </w:tcPr>
          <w:p>
            <w:pPr>
              <w:spacing w:before="20" w:after="20" w:line="252" w:lineRule="auto"/>
            </w:pPr>
            <w:r/>
            <w:r>
              <w:rPr>
                <w:rFonts w:ascii="Calibri" w:hAnsi="Calibri" w:eastAsia="Calibri"/>
                <w:b w:val="0"/>
                <w:i w:val="0"/>
                <w:color w:val="1A1A1A"/>
                <w:sz w:val="16"/>
              </w:rPr>
              <w:t>€1,332</w:t>
            </w:r>
          </w:p>
        </w:tc>
        <w:tc>
          <w:tcPr>
            <w:tcW w:w="1850" w:type="dxa"/>
            <w:shd w:fill="FFFFFF" w:val="clear"/>
            <w:vAlign w:val="center"/>
          </w:tcPr>
          <w:p>
            <w:pPr>
              <w:spacing w:before="20" w:after="20" w:line="252" w:lineRule="auto"/>
            </w:pPr>
            <w:r/>
            <w:r>
              <w:rPr>
                <w:rFonts w:ascii="Calibri" w:hAnsi="Calibri" w:eastAsia="Calibri"/>
                <w:b w:val="0"/>
                <w:i w:val="0"/>
                <w:color w:val="1A1A1A"/>
                <w:sz w:val="16"/>
              </w:rPr>
              <w:t>Baseline</w:t>
            </w:r>
          </w:p>
        </w:tc>
      </w:tr>
      <w:tr>
        <w:trPr>
          <w:cantSplit/>
        </w:trPr>
        <w:tc>
          <w:tcPr>
            <w:tcW w:w="1750" w:type="dxa"/>
            <w:shd w:fill="F4F7F4" w:val="clear"/>
            <w:vAlign w:val="center"/>
          </w:tcPr>
          <w:p>
            <w:pPr>
              <w:spacing w:before="20" w:after="20" w:line="252" w:lineRule="auto"/>
            </w:pPr>
            <w:r/>
            <w:r>
              <w:rPr>
                <w:rFonts w:ascii="Calibri" w:hAnsi="Calibri" w:eastAsia="Calibri"/>
                <w:b w:val="0"/>
                <w:i w:val="0"/>
                <w:color w:val="1A1A1A"/>
                <w:sz w:val="16"/>
              </w:rPr>
              <w:t>20% gross increase</w:t>
            </w:r>
          </w:p>
        </w:tc>
        <w:tc>
          <w:tcPr>
            <w:tcW w:w="1400" w:type="dxa"/>
            <w:shd w:fill="F4F7F4" w:val="clear"/>
            <w:vAlign w:val="center"/>
          </w:tcPr>
          <w:p>
            <w:pPr>
              <w:spacing w:before="20" w:after="20" w:line="252" w:lineRule="auto"/>
            </w:pPr>
            <w:r/>
            <w:r>
              <w:rPr>
                <w:rFonts w:ascii="Calibri" w:hAnsi="Calibri" w:eastAsia="Calibri"/>
                <w:b w:val="0"/>
                <w:i w:val="0"/>
                <w:color w:val="1A1A1A"/>
                <w:sz w:val="16"/>
              </w:rPr>
              <w:t>€20,513</w:t>
            </w:r>
          </w:p>
        </w:tc>
        <w:tc>
          <w:tcPr>
            <w:tcW w:w="1650" w:type="dxa"/>
            <w:shd w:fill="F4F7F4" w:val="clear"/>
            <w:vAlign w:val="center"/>
          </w:tcPr>
          <w:p>
            <w:pPr>
              <w:spacing w:before="20" w:after="20" w:line="252" w:lineRule="auto"/>
            </w:pPr>
            <w:r/>
            <w:r>
              <w:rPr>
                <w:rFonts w:ascii="Calibri" w:hAnsi="Calibri" w:eastAsia="Calibri"/>
                <w:b w:val="0"/>
                <w:i w:val="0"/>
                <w:color w:val="1A1A1A"/>
                <w:sz w:val="16"/>
              </w:rPr>
              <w:t>16.8% = €3,446</w:t>
            </w:r>
          </w:p>
        </w:tc>
        <w:tc>
          <w:tcPr>
            <w:tcW w:w="1550" w:type="dxa"/>
            <w:shd w:fill="F4F7F4" w:val="clear"/>
            <w:vAlign w:val="center"/>
          </w:tcPr>
          <w:p>
            <w:pPr>
              <w:spacing w:before="20" w:after="20" w:line="252" w:lineRule="auto"/>
            </w:pPr>
            <w:r/>
            <w:r>
              <w:rPr>
                <w:rFonts w:ascii="Calibri" w:hAnsi="Calibri" w:eastAsia="Calibri"/>
                <w:b w:val="0"/>
                <w:i w:val="0"/>
                <w:color w:val="1A1A1A"/>
                <w:sz w:val="16"/>
              </w:rPr>
              <w:t>€17,067</w:t>
            </w:r>
          </w:p>
        </w:tc>
        <w:tc>
          <w:tcPr>
            <w:tcW w:w="1880" w:type="dxa"/>
            <w:shd w:fill="F4F7F4" w:val="clear"/>
            <w:vAlign w:val="center"/>
          </w:tcPr>
          <w:p>
            <w:pPr>
              <w:spacing w:before="20" w:after="20" w:line="252" w:lineRule="auto"/>
            </w:pPr>
            <w:r/>
            <w:r>
              <w:rPr>
                <w:rFonts w:ascii="Calibri" w:hAnsi="Calibri" w:eastAsia="Calibri"/>
                <w:b w:val="0"/>
                <w:i w:val="0"/>
                <w:color w:val="1A1A1A"/>
                <w:sz w:val="16"/>
              </w:rPr>
              <w:t>€1,422</w:t>
            </w:r>
          </w:p>
        </w:tc>
        <w:tc>
          <w:tcPr>
            <w:tcW w:w="1850" w:type="dxa"/>
            <w:shd w:fill="F4F7F4" w:val="clear"/>
            <w:vAlign w:val="center"/>
          </w:tcPr>
          <w:p>
            <w:pPr>
              <w:spacing w:before="20" w:after="20" w:line="252" w:lineRule="auto"/>
            </w:pPr>
            <w:r/>
            <w:r>
              <w:rPr>
                <w:rFonts w:ascii="Calibri" w:hAnsi="Calibri" w:eastAsia="Calibri"/>
                <w:b w:val="0"/>
                <w:i w:val="0"/>
                <w:color w:val="1A1A1A"/>
                <w:sz w:val="16"/>
              </w:rPr>
              <w:t>About +6.8%</w:t>
            </w:r>
          </w:p>
        </w:tc>
      </w:tr>
      <w:tr>
        <w:trPr>
          <w:cantSplit/>
        </w:trPr>
        <w:tc>
          <w:tcPr>
            <w:tcW w:w="1750" w:type="dxa"/>
            <w:shd w:fill="FFFFFF" w:val="clear"/>
            <w:vAlign w:val="center"/>
          </w:tcPr>
          <w:p>
            <w:pPr>
              <w:spacing w:before="20" w:after="20" w:line="252" w:lineRule="auto"/>
            </w:pPr>
            <w:r/>
            <w:r>
              <w:rPr>
                <w:rFonts w:ascii="Calibri" w:hAnsi="Calibri" w:eastAsia="Calibri"/>
                <w:b w:val="0"/>
                <w:i w:val="0"/>
                <w:color w:val="1A1A1A"/>
                <w:sz w:val="16"/>
              </w:rPr>
              <w:t>40% gross increase</w:t>
            </w:r>
          </w:p>
        </w:tc>
        <w:tc>
          <w:tcPr>
            <w:tcW w:w="1400" w:type="dxa"/>
            <w:shd w:fill="FFFFFF" w:val="clear"/>
            <w:vAlign w:val="center"/>
          </w:tcPr>
          <w:p>
            <w:pPr>
              <w:spacing w:before="20" w:after="20" w:line="252" w:lineRule="auto"/>
            </w:pPr>
            <w:r/>
            <w:r>
              <w:rPr>
                <w:rFonts w:ascii="Calibri" w:hAnsi="Calibri" w:eastAsia="Calibri"/>
                <w:b w:val="0"/>
                <w:i w:val="0"/>
                <w:color w:val="1A1A1A"/>
                <w:sz w:val="16"/>
              </w:rPr>
              <w:t>€23,932</w:t>
            </w:r>
          </w:p>
        </w:tc>
        <w:tc>
          <w:tcPr>
            <w:tcW w:w="1650" w:type="dxa"/>
            <w:shd w:fill="FFFFFF" w:val="clear"/>
            <w:vAlign w:val="center"/>
          </w:tcPr>
          <w:p>
            <w:pPr>
              <w:spacing w:before="20" w:after="20" w:line="252" w:lineRule="auto"/>
            </w:pPr>
            <w:r/>
            <w:r>
              <w:rPr>
                <w:rFonts w:ascii="Calibri" w:hAnsi="Calibri" w:eastAsia="Calibri"/>
                <w:b w:val="0"/>
                <w:i w:val="0"/>
                <w:color w:val="1A1A1A"/>
                <w:sz w:val="16"/>
              </w:rPr>
              <w:t>19.1% = €4,571</w:t>
            </w:r>
          </w:p>
        </w:tc>
        <w:tc>
          <w:tcPr>
            <w:tcW w:w="1550" w:type="dxa"/>
            <w:shd w:fill="FFFFFF" w:val="clear"/>
            <w:vAlign w:val="center"/>
          </w:tcPr>
          <w:p>
            <w:pPr>
              <w:spacing w:before="20" w:after="20" w:line="252" w:lineRule="auto"/>
            </w:pPr>
            <w:r/>
            <w:r>
              <w:rPr>
                <w:rFonts w:ascii="Calibri" w:hAnsi="Calibri" w:eastAsia="Calibri"/>
                <w:b w:val="0"/>
                <w:i w:val="0"/>
                <w:color w:val="1A1A1A"/>
                <w:sz w:val="16"/>
              </w:rPr>
              <w:t>€19,361</w:t>
            </w:r>
          </w:p>
        </w:tc>
        <w:tc>
          <w:tcPr>
            <w:tcW w:w="1880" w:type="dxa"/>
            <w:shd w:fill="FFFFFF" w:val="clear"/>
            <w:vAlign w:val="center"/>
          </w:tcPr>
          <w:p>
            <w:pPr>
              <w:spacing w:before="20" w:after="20" w:line="252" w:lineRule="auto"/>
            </w:pPr>
            <w:r/>
            <w:r>
              <w:rPr>
                <w:rFonts w:ascii="Calibri" w:hAnsi="Calibri" w:eastAsia="Calibri"/>
                <w:b w:val="0"/>
                <w:i w:val="0"/>
                <w:color w:val="1A1A1A"/>
                <w:sz w:val="16"/>
              </w:rPr>
              <w:t>€1,613</w:t>
            </w:r>
          </w:p>
        </w:tc>
        <w:tc>
          <w:tcPr>
            <w:tcW w:w="1850" w:type="dxa"/>
            <w:shd w:fill="FFFFFF" w:val="clear"/>
            <w:vAlign w:val="center"/>
          </w:tcPr>
          <w:p>
            <w:pPr>
              <w:spacing w:before="20" w:after="20" w:line="252" w:lineRule="auto"/>
            </w:pPr>
            <w:r/>
            <w:r>
              <w:rPr>
                <w:rFonts w:ascii="Calibri" w:hAnsi="Calibri" w:eastAsia="Calibri"/>
                <w:b w:val="0"/>
                <w:i w:val="0"/>
                <w:color w:val="1A1A1A"/>
                <w:sz w:val="16"/>
              </w:rPr>
              <w:t>About +21.1%</w:t>
            </w:r>
          </w:p>
        </w:tc>
      </w:tr>
    </w:tbl>
    <w:p>
      <w:pPr>
        <w:spacing w:before="120" w:after="120" w:line="269" w:lineRule="auto"/>
      </w:pPr>
      <w:r>
        <w:rPr>
          <w:rFonts w:ascii="Calibri" w:hAnsi="Calibri" w:eastAsia="Calibri"/>
          <w:b w:val="0"/>
          <w:i/>
          <w:color w:val="3D4A42"/>
          <w:sz w:val="20"/>
        </w:rPr>
        <w:t>These are not payroll advice. Net pay depends on personal circumstances, social-security contributions, deductions, family situation, regional rules, and the difference between payroll withholding and the final annual IRPF liability. The payroll provider should model representative cases.</w:t>
      </w:r>
    </w:p>
    <w:p>
      <w:pPr>
        <w:pStyle w:val="Heading2"/>
        <w:spacing w:before="200" w:after="80"/>
      </w:pPr>
      <w:r>
        <w:rPr>
          <w:rFonts w:ascii="Calibri" w:hAnsi="Calibri" w:eastAsia="Calibri"/>
          <w:color w:val="1F3D32"/>
        </w:rPr>
        <w:t>4.8 Benefits to investigate</w:t>
      </w:r>
    </w:p>
    <w:p>
      <w:pPr>
        <w:spacing w:before="120" w:after="120" w:line="269" w:lineRule="auto"/>
      </w:pPr>
      <w:r>
        <w:rPr>
          <w:rFonts w:ascii="Calibri" w:hAnsi="Calibri" w:eastAsia="Calibri"/>
          <w:b w:val="0"/>
          <w:i w:val="0"/>
          <w:color w:val="1A1A1A"/>
          <w:sz w:val="22"/>
        </w:rPr>
        <w:t>Ask the Spanish payroll adviser which benefits support employees and which tax treatment actually applies. These are lines of enquiry, not tax-free allowances. Do not replace required minimum cash pay with a benefit.</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800"/>
        <w:gridCol w:w="7280"/>
      </w:tblGrid>
      <w:tr>
        <w:trPr>
          <w:tblHeader/>
          <w:cantSplit/>
        </w:trPr>
        <w:tc>
          <w:tcPr>
            <w:tcW w:w="2800" w:type="dxa"/>
            <w:shd w:fill="1B4D3E" w:val="clear"/>
            <w:vAlign w:val="center"/>
          </w:tcPr>
          <w:p>
            <w:pPr>
              <w:spacing w:before="20" w:after="20" w:line="252" w:lineRule="auto"/>
            </w:pPr>
            <w:r/>
            <w:r>
              <w:rPr>
                <w:rFonts w:ascii="Calibri" w:hAnsi="Calibri" w:eastAsia="Calibri"/>
                <w:b/>
                <w:i w:val="0"/>
                <w:color w:val="FFFFFF"/>
                <w:sz w:val="17"/>
              </w:rPr>
              <w:t>Possible benefit</w:t>
            </w:r>
          </w:p>
        </w:tc>
        <w:tc>
          <w:tcPr>
            <w:tcW w:w="7280" w:type="dxa"/>
            <w:shd w:fill="1B4D3E" w:val="clear"/>
            <w:vAlign w:val="center"/>
          </w:tcPr>
          <w:p>
            <w:pPr>
              <w:spacing w:before="20" w:after="20" w:line="252" w:lineRule="auto"/>
            </w:pPr>
            <w:r/>
            <w:r>
              <w:rPr>
                <w:rFonts w:ascii="Calibri" w:hAnsi="Calibri" w:eastAsia="Calibri"/>
                <w:b/>
                <w:i w:val="0"/>
                <w:color w:val="FFFFFF"/>
                <w:sz w:val="17"/>
              </w:rPr>
              <w:t>Point to verify</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7"/>
              </w:rPr>
              <w:t>Childcare</w:t>
            </w:r>
          </w:p>
        </w:tc>
        <w:tc>
          <w:tcPr>
            <w:tcW w:w="7280" w:type="dxa"/>
            <w:shd w:fill="FFFFFF" w:val="clear"/>
            <w:vAlign w:val="center"/>
          </w:tcPr>
          <w:p>
            <w:pPr>
              <w:spacing w:before="20" w:after="20" w:line="252" w:lineRule="auto"/>
            </w:pPr>
            <w:r/>
            <w:r>
              <w:rPr>
                <w:rFonts w:ascii="Calibri" w:hAnsi="Calibri" w:eastAsia="Calibri"/>
                <w:b w:val="0"/>
                <w:i w:val="0"/>
                <w:color w:val="1A1A1A"/>
                <w:sz w:val="17"/>
              </w:rPr>
              <w:t>Employer-provided childcare, or payment to an authorised early-childhood provider, may qualify for favourable IRPF treatment if the conditions are met. A cash allowance is not automatically exempt.</w:t>
            </w:r>
          </w:p>
        </w:tc>
      </w:tr>
      <w:tr>
        <w:trPr>
          <w:cantSplit/>
        </w:trPr>
        <w:tc>
          <w:tcPr>
            <w:tcW w:w="2800" w:type="dxa"/>
            <w:shd w:fill="F4F7F4" w:val="clear"/>
            <w:vAlign w:val="center"/>
          </w:tcPr>
          <w:p>
            <w:pPr>
              <w:spacing w:before="20" w:after="20" w:line="252" w:lineRule="auto"/>
            </w:pPr>
            <w:r/>
            <w:r>
              <w:rPr>
                <w:rFonts w:ascii="Calibri" w:hAnsi="Calibri" w:eastAsia="Calibri"/>
                <w:b w:val="0"/>
                <w:i w:val="0"/>
                <w:color w:val="1A1A1A"/>
                <w:sz w:val="17"/>
              </w:rPr>
              <w:t>Public-transport commuting</w:t>
            </w:r>
          </w:p>
        </w:tc>
        <w:tc>
          <w:tcPr>
            <w:tcW w:w="7280" w:type="dxa"/>
            <w:shd w:fill="F4F7F4" w:val="clear"/>
            <w:vAlign w:val="center"/>
          </w:tcPr>
          <w:p>
            <w:pPr>
              <w:spacing w:before="20" w:after="20" w:line="252" w:lineRule="auto"/>
            </w:pPr>
            <w:r/>
            <w:r>
              <w:rPr>
                <w:rFonts w:ascii="Calibri" w:hAnsi="Calibri" w:eastAsia="Calibri"/>
                <w:b w:val="0"/>
                <w:i w:val="0"/>
                <w:color w:val="1A1A1A"/>
                <w:sz w:val="17"/>
              </w:rPr>
              <w:t>Employer payment for qualifying public collective transport can be exempt from IRPF up to €1,500 per employee per year, subject to conditions. This is not an exemption for petrol or private-car commuting.</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7"/>
              </w:rPr>
              <w:t>Fuel / private-car commuting</w:t>
            </w:r>
          </w:p>
        </w:tc>
        <w:tc>
          <w:tcPr>
            <w:tcW w:w="7280" w:type="dxa"/>
            <w:shd w:fill="FFFFFF" w:val="clear"/>
            <w:vAlign w:val="center"/>
          </w:tcPr>
          <w:p>
            <w:pPr>
              <w:spacing w:before="20" w:after="20" w:line="252" w:lineRule="auto"/>
            </w:pPr>
            <w:r/>
            <w:r>
              <w:rPr>
                <w:rFonts w:ascii="Calibri" w:hAnsi="Calibri" w:eastAsia="Calibri"/>
                <w:b w:val="0"/>
                <w:i w:val="0"/>
                <w:color w:val="1A1A1A"/>
                <w:sz w:val="17"/>
              </w:rPr>
              <w:t>Cash fuel allowances, or reimbursement of ordinary home-to-work car travel, are not automatically tax-free. Do not describe a fuel allowance as tax-efficient without specific advice.</w:t>
            </w:r>
          </w:p>
        </w:tc>
      </w:tr>
      <w:tr>
        <w:trPr>
          <w:cantSplit/>
        </w:trPr>
        <w:tc>
          <w:tcPr>
            <w:tcW w:w="2800" w:type="dxa"/>
            <w:shd w:fill="F4F7F4" w:val="clear"/>
            <w:vAlign w:val="center"/>
          </w:tcPr>
          <w:p>
            <w:pPr>
              <w:spacing w:before="20" w:after="20" w:line="252" w:lineRule="auto"/>
            </w:pPr>
            <w:r/>
            <w:r>
              <w:rPr>
                <w:rFonts w:ascii="Calibri" w:hAnsi="Calibri" w:eastAsia="Calibri"/>
                <w:b w:val="0"/>
                <w:i w:val="0"/>
                <w:color w:val="1A1A1A"/>
                <w:sz w:val="17"/>
              </w:rPr>
              <w:t>Business travel in a private vehicle</w:t>
            </w:r>
          </w:p>
        </w:tc>
        <w:tc>
          <w:tcPr>
            <w:tcW w:w="7280" w:type="dxa"/>
            <w:shd w:fill="F4F7F4" w:val="clear"/>
            <w:vAlign w:val="center"/>
          </w:tcPr>
          <w:p>
            <w:pPr>
              <w:spacing w:before="20" w:after="20" w:line="252" w:lineRule="auto"/>
            </w:pPr>
            <w:r/>
            <w:r>
              <w:rPr>
                <w:rFonts w:ascii="Calibri" w:hAnsi="Calibri" w:eastAsia="Calibri"/>
                <w:b w:val="0"/>
                <w:i w:val="0"/>
                <w:color w:val="1A1A1A"/>
                <w:sz w:val="17"/>
              </w:rPr>
              <w:t>For qualifying work journeys away from the usual workplace, the rules allow €0.26/km where the journey is evidenced, plus justified tolls and parking. This is business travel, not ordinary commuting.</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7"/>
              </w:rPr>
              <w:t>Meal vouchers / workplace meals</w:t>
            </w:r>
          </w:p>
        </w:tc>
        <w:tc>
          <w:tcPr>
            <w:tcW w:w="7280" w:type="dxa"/>
            <w:shd w:fill="FFFFFF" w:val="clear"/>
            <w:vAlign w:val="center"/>
          </w:tcPr>
          <w:p>
            <w:pPr>
              <w:spacing w:before="20" w:after="20" w:line="252" w:lineRule="auto"/>
            </w:pPr>
            <w:r/>
            <w:r>
              <w:rPr>
                <w:rFonts w:ascii="Calibri" w:hAnsi="Calibri" w:eastAsia="Calibri"/>
                <w:b w:val="0"/>
                <w:i w:val="0"/>
                <w:color w:val="1A1A1A"/>
                <w:sz w:val="17"/>
              </w:rPr>
              <w:t>Qualifying meal vouchers or electronic cards may be exempt up to €11 per working day if the conditions are met.</w:t>
            </w:r>
          </w:p>
        </w:tc>
      </w:tr>
      <w:tr>
        <w:trPr>
          <w:cantSplit/>
        </w:trPr>
        <w:tc>
          <w:tcPr>
            <w:tcW w:w="2800" w:type="dxa"/>
            <w:shd w:fill="F4F7F4" w:val="clear"/>
            <w:vAlign w:val="center"/>
          </w:tcPr>
          <w:p>
            <w:pPr>
              <w:spacing w:before="20" w:after="20" w:line="252" w:lineRule="auto"/>
            </w:pPr>
            <w:r/>
            <w:r>
              <w:rPr>
                <w:rFonts w:ascii="Calibri" w:hAnsi="Calibri" w:eastAsia="Calibri"/>
                <w:b w:val="0"/>
                <w:i w:val="0"/>
                <w:color w:val="1A1A1A"/>
                <w:sz w:val="17"/>
              </w:rPr>
              <w:t>Health insurance</w:t>
            </w:r>
          </w:p>
        </w:tc>
        <w:tc>
          <w:tcPr>
            <w:tcW w:w="7280" w:type="dxa"/>
            <w:shd w:fill="F4F7F4" w:val="clear"/>
            <w:vAlign w:val="center"/>
          </w:tcPr>
          <w:p>
            <w:pPr>
              <w:spacing w:before="20" w:after="20" w:line="252" w:lineRule="auto"/>
            </w:pPr>
            <w:r/>
            <w:r>
              <w:rPr>
                <w:rFonts w:ascii="Calibri" w:hAnsi="Calibri" w:eastAsia="Calibri"/>
                <w:b w:val="0"/>
                <w:i w:val="0"/>
                <w:color w:val="1A1A1A"/>
                <w:sz w:val="17"/>
              </w:rPr>
              <w:t>Employer-paid health insurance can be exempt up to €500 a year for each covered person, or €1,500 for a person with a disability, subject to conditions.</w:t>
            </w:r>
          </w:p>
        </w:tc>
      </w:tr>
    </w:tbl>
    <w:p>
      <w:pPr>
        <w:spacing w:before="120" w:after="120" w:line="269" w:lineRule="auto"/>
      </w:pPr>
      <w:r>
        <w:rPr>
          <w:rFonts w:ascii="Calibri" w:hAnsi="Calibri" w:eastAsia="Calibri"/>
          <w:b w:val="0"/>
          <w:i/>
          <w:color w:val="3D4A42"/>
          <w:sz w:val="20"/>
        </w:rPr>
        <w:t>Ask the adviser for a short written comparison: tax and social-security treatment, employer cost, employee value, and the administration required.</w:t>
      </w:r>
    </w:p>
    <w:p>
      <w:pPr>
        <w:pStyle w:val="Heading2"/>
        <w:spacing w:before="200" w:after="80"/>
      </w:pPr>
      <w:r>
        <w:rPr>
          <w:rFonts w:ascii="Calibri" w:hAnsi="Calibri" w:eastAsia="Calibri"/>
          <w:color w:val="1F3D32"/>
        </w:rPr>
        <w:t>4.9 Benchmarks to use when the data exists</w:t>
      </w:r>
    </w:p>
    <w:p>
      <w:pPr>
        <w:spacing w:before="120" w:after="120" w:line="269" w:lineRule="auto"/>
      </w:pPr>
      <w:r>
        <w:rPr>
          <w:rFonts w:ascii="Calibri" w:hAnsi="Calibri" w:eastAsia="Calibri"/>
          <w:b w:val="0"/>
          <w:i w:val="0"/>
          <w:color w:val="1A1A1A"/>
          <w:sz w:val="22"/>
        </w:rPr>
        <w:t>Useful starting points for later validation are the Golf Club Managers’ Association and its club benchmarking resources, current job advertisements in Spain, and the official Spanish collective-agreement register. A published vacancy is a reference point, not a substitute for a local salary survey. Confirm which agreement applies to this club. An agreement written for public-sector sports-service contracts should not be assumed to govern a private golf club.</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4200"/>
        <w:gridCol w:w="5880"/>
      </w:tblGrid>
      <w:tr>
        <w:trPr>
          <w:tblHeader/>
          <w:cantSplit/>
        </w:trPr>
        <w:tc>
          <w:tcPr>
            <w:tcW w:w="4200" w:type="dxa"/>
            <w:shd w:fill="1B4D3E" w:val="clear"/>
            <w:vAlign w:val="center"/>
          </w:tcPr>
          <w:p>
            <w:pPr>
              <w:spacing w:before="20" w:after="20" w:line="252" w:lineRule="auto"/>
            </w:pPr>
            <w:r/>
            <w:r>
              <w:rPr>
                <w:rFonts w:ascii="Calibri" w:hAnsi="Calibri" w:eastAsia="Calibri"/>
                <w:b/>
                <w:i w:val="0"/>
                <w:color w:val="FFFFFF"/>
                <w:sz w:val="16"/>
              </w:rPr>
              <w:t>Source</w:t>
            </w:r>
          </w:p>
        </w:tc>
        <w:tc>
          <w:tcPr>
            <w:tcW w:w="5880" w:type="dxa"/>
            <w:shd w:fill="1B4D3E" w:val="clear"/>
            <w:vAlign w:val="center"/>
          </w:tcPr>
          <w:p>
            <w:pPr>
              <w:spacing w:before="20" w:after="20" w:line="252" w:lineRule="auto"/>
            </w:pPr>
            <w:r/>
            <w:r>
              <w:rPr>
                <w:rFonts w:ascii="Calibri" w:hAnsi="Calibri" w:eastAsia="Calibri"/>
                <w:b/>
                <w:i w:val="0"/>
                <w:color w:val="FFFFFF"/>
                <w:sz w:val="16"/>
              </w:rPr>
              <w:t>Where</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6"/>
              </w:rPr>
              <w:t>GCMA / Club Benchmarking EMEA</w:t>
            </w:r>
          </w:p>
        </w:tc>
        <w:tc>
          <w:tcPr>
            <w:tcW w:w="5880" w:type="dxa"/>
            <w:shd w:fill="FFFFFF" w:val="clear"/>
            <w:vAlign w:val="center"/>
          </w:tcPr>
          <w:p>
            <w:pPr>
              <w:spacing w:before="20" w:after="20" w:line="252" w:lineRule="auto"/>
            </w:pPr>
            <w:r/>
            <w:r>
              <w:rPr>
                <w:rFonts w:ascii="Calibri" w:hAnsi="Calibri" w:eastAsia="Calibri"/>
                <w:b w:val="0"/>
                <w:i w:val="0"/>
                <w:color w:val="1A1A1A"/>
                <w:sz w:val="16"/>
              </w:rPr>
              <w:t>https://www.gcma.org.uk/</w:t>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6"/>
              </w:rPr>
              <w:t>UK golf club salary calculator</w:t>
            </w:r>
          </w:p>
        </w:tc>
        <w:tc>
          <w:tcPr>
            <w:tcW w:w="5880" w:type="dxa"/>
            <w:shd w:fill="F4F7F4" w:val="clear"/>
            <w:vAlign w:val="center"/>
          </w:tcPr>
          <w:p>
            <w:pPr>
              <w:spacing w:before="20" w:after="20" w:line="252" w:lineRule="auto"/>
            </w:pPr>
            <w:r/>
            <w:r>
              <w:rPr>
                <w:rFonts w:ascii="Calibri" w:hAnsi="Calibri" w:eastAsia="Calibri"/>
                <w:b w:val="0"/>
                <w:i w:val="0"/>
                <w:color w:val="1A1A1A"/>
                <w:sz w:val="16"/>
              </w:rPr>
              <w:t>https://golfclubsalaries.org.uk/salary-calculator/</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6"/>
              </w:rPr>
              <w:t>Andalusia collective-agreement register</w:t>
            </w:r>
          </w:p>
        </w:tc>
        <w:tc>
          <w:tcPr>
            <w:tcW w:w="5880" w:type="dxa"/>
            <w:shd w:fill="FFFFFF" w:val="clear"/>
            <w:vAlign w:val="center"/>
          </w:tcPr>
          <w:p>
            <w:pPr>
              <w:spacing w:before="20" w:after="20" w:line="252" w:lineRule="auto"/>
            </w:pPr>
            <w:r/>
            <w:r>
              <w:rPr>
                <w:rFonts w:ascii="Calibri" w:hAnsi="Calibri" w:eastAsia="Calibri"/>
                <w:b w:val="0"/>
                <w:i w:val="0"/>
                <w:color w:val="1A1A1A"/>
                <w:sz w:val="16"/>
              </w:rPr>
              <w:t>https://expinterweb.mites.gob.es/regcon/pub/consultaPublicaAndalucia</w:t>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6"/>
              </w:rPr>
              <w:t>INE, September 2026 CPI flash estimate (29 September 2026)</w:t>
            </w:r>
          </w:p>
        </w:tc>
        <w:tc>
          <w:tcPr>
            <w:tcW w:w="5880" w:type="dxa"/>
            <w:shd w:fill="F4F7F4" w:val="clear"/>
            <w:vAlign w:val="center"/>
          </w:tcPr>
          <w:p>
            <w:pPr>
              <w:spacing w:before="20" w:after="20" w:line="252" w:lineRule="auto"/>
            </w:pPr>
            <w:r/>
            <w:r>
              <w:rPr>
                <w:rFonts w:ascii="Calibri" w:hAnsi="Calibri" w:eastAsia="Calibri"/>
                <w:b w:val="0"/>
                <w:i w:val="0"/>
                <w:color w:val="1A1A1A"/>
                <w:sz w:val="16"/>
              </w:rPr>
              <w:t>https://www.ine.es/dyngs/Prensa/en/adIPC0926.htm</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6"/>
              </w:rPr>
              <w:t>Ministry of Finance, SMI and low-income deduction (17 February 2026)</w:t>
            </w:r>
          </w:p>
        </w:tc>
        <w:tc>
          <w:tcPr>
            <w:tcW w:w="5880" w:type="dxa"/>
            <w:shd w:fill="FFFFFF" w:val="clear"/>
            <w:vAlign w:val="center"/>
          </w:tcPr>
          <w:p>
            <w:pPr>
              <w:spacing w:before="20" w:after="20" w:line="252" w:lineRule="auto"/>
            </w:pPr>
            <w:r/>
            <w:r>
              <w:rPr>
                <w:rFonts w:ascii="Calibri" w:hAnsi="Calibri" w:eastAsia="Calibri"/>
                <w:b w:val="0"/>
                <w:i w:val="0"/>
                <w:color w:val="1A1A1A"/>
                <w:sz w:val="16"/>
              </w:rPr>
              <w:t>https://www.hacienda.gob.es/es-ES/Prensa/Noticias/Paginas/2026/20260217-NP-CM-SMI-DEDUCCION-2026.aspx</w:t>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6"/>
              </w:rPr>
              <w:t>Official State Gazette, Royal Decree 126/2026, 2026 SMI</w:t>
            </w:r>
          </w:p>
        </w:tc>
        <w:tc>
          <w:tcPr>
            <w:tcW w:w="5880" w:type="dxa"/>
            <w:shd w:fill="F4F7F4" w:val="clear"/>
            <w:vAlign w:val="center"/>
          </w:tcPr>
          <w:p>
            <w:pPr>
              <w:spacing w:before="20" w:after="20" w:line="252" w:lineRule="auto"/>
            </w:pPr>
            <w:r/>
            <w:r>
              <w:rPr>
                <w:rFonts w:ascii="Calibri" w:hAnsi="Calibri" w:eastAsia="Calibri"/>
                <w:b w:val="0"/>
                <w:i w:val="0"/>
                <w:color w:val="1A1A1A"/>
                <w:sz w:val="16"/>
              </w:rPr>
              <w:t>https://boe.es/diario_boe/txt.php?id=BOE-A-2026-3815</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6"/>
              </w:rPr>
              <w:t>Spanish Tax Agency, mileage and travel expenses</w:t>
            </w:r>
          </w:p>
        </w:tc>
        <w:tc>
          <w:tcPr>
            <w:tcW w:w="5880" w:type="dxa"/>
            <w:shd w:fill="FFFFFF" w:val="clear"/>
            <w:vAlign w:val="center"/>
          </w:tcPr>
          <w:p>
            <w:pPr>
              <w:spacing w:before="20" w:after="20" w:line="252" w:lineRule="auto"/>
            </w:pPr>
            <w:r/>
            <w:r>
              <w:rPr>
                <w:rFonts w:ascii="Calibri" w:hAnsi="Calibri" w:eastAsia="Calibri"/>
                <w:b w:val="0"/>
                <w:i w:val="0"/>
                <w:color w:val="1A1A1A"/>
                <w:sz w:val="16"/>
              </w:rPr>
              <w:t>https://sede.agenciatributaria.gob.es/Sede/ayuda/manuales-videos-folletos/manuales-practicos/irpf-2025/c03-rendimientos-trabajo/consideracion-fiscal-dietas-asignaciones-gastos-viaje/gastos-locomocion.html</w:t>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6"/>
              </w:rPr>
              <w:t>Spanish Tax Agency, exempt benefits in kind</w:t>
            </w:r>
          </w:p>
        </w:tc>
        <w:tc>
          <w:tcPr>
            <w:tcW w:w="5880" w:type="dxa"/>
            <w:shd w:fill="F4F7F4" w:val="clear"/>
            <w:vAlign w:val="center"/>
          </w:tcPr>
          <w:p>
            <w:pPr>
              <w:spacing w:before="20" w:after="20" w:line="252" w:lineRule="auto"/>
            </w:pPr>
            <w:r/>
            <w:r>
              <w:rPr>
                <w:rFonts w:ascii="Calibri" w:hAnsi="Calibri" w:eastAsia="Calibri"/>
                <w:b w:val="0"/>
                <w:i w:val="0"/>
                <w:color w:val="1A1A1A"/>
                <w:sz w:val="16"/>
              </w:rPr>
              <w:t>https://sede.agenciatributaria.gob.es/Sede/en_gb/ayuda/manuales-videos-folletos/manuales-practicos/irpf-2025/c03-rendimientos-trabajo/rendimientos-trabajo-especie/rendimientos-trabajo-especie-exentos.html</w:t>
            </w:r>
          </w:p>
        </w:tc>
      </w:tr>
    </w:tbl>
    <w:p>
      <w:pPr>
        <w:pStyle w:val="Heading2"/>
        <w:spacing w:before="200" w:after="80"/>
      </w:pPr>
      <w:r>
        <w:rPr>
          <w:rFonts w:ascii="Calibri" w:hAnsi="Calibri" w:eastAsia="Calibri"/>
          <w:color w:val="1F3D32"/>
        </w:rPr>
        <w:t>4.10 Decisions the Board is asked to take</w:t>
      </w:r>
    </w:p>
    <w:p>
      <w:pPr>
        <w:spacing w:before="80" w:after="40" w:line="269" w:lineRule="auto"/>
      </w:pPr>
      <w:r>
        <w:rPr>
          <w:rFonts w:ascii="Calibri" w:hAnsi="Calibri" w:eastAsia="Calibri"/>
          <w:b/>
          <w:i w:val="0"/>
          <w:color w:val="1A1A1A"/>
          <w:sz w:val="22"/>
        </w:rPr>
        <w:t>Governance and pay position</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3000"/>
        <w:gridCol w:w="4680"/>
        <w:gridCol w:w="2400"/>
      </w:tblGrid>
      <w:tr>
        <w:trPr>
          <w:tblHeader/>
          <w:cantSplit/>
        </w:trPr>
        <w:tc>
          <w:tcPr>
            <w:tcW w:w="3000" w:type="dxa"/>
            <w:shd w:fill="1B4D3E" w:val="clear"/>
            <w:vAlign w:val="center"/>
          </w:tcPr>
          <w:p>
            <w:pPr>
              <w:spacing w:before="20" w:after="20" w:line="252" w:lineRule="auto"/>
            </w:pPr>
            <w:r/>
            <w:r>
              <w:rPr>
                <w:rFonts w:ascii="Calibri" w:hAnsi="Calibri" w:eastAsia="Calibri"/>
                <w:b/>
                <w:i w:val="0"/>
                <w:color w:val="FFFFFF"/>
                <w:sz w:val="17"/>
              </w:rPr>
              <w:t>Decision</w:t>
            </w:r>
          </w:p>
        </w:tc>
        <w:tc>
          <w:tcPr>
            <w:tcW w:w="4680" w:type="dxa"/>
            <w:shd w:fill="1B4D3E" w:val="clear"/>
            <w:vAlign w:val="center"/>
          </w:tcPr>
          <w:p>
            <w:pPr>
              <w:spacing w:before="20" w:after="20" w:line="252" w:lineRule="auto"/>
            </w:pPr>
            <w:r/>
            <w:r>
              <w:rPr>
                <w:rFonts w:ascii="Calibri" w:hAnsi="Calibri" w:eastAsia="Calibri"/>
                <w:b/>
                <w:i w:val="0"/>
                <w:color w:val="FFFFFF"/>
                <w:sz w:val="17"/>
              </w:rPr>
              <w:t>Options</w:t>
            </w:r>
          </w:p>
        </w:tc>
        <w:tc>
          <w:tcPr>
            <w:tcW w:w="2400" w:type="dxa"/>
            <w:shd w:fill="1B4D3E" w:val="clear"/>
            <w:vAlign w:val="center"/>
          </w:tcPr>
          <w:p>
            <w:pPr>
              <w:spacing w:before="20" w:after="20" w:line="252" w:lineRule="auto"/>
            </w:pPr>
            <w:r/>
            <w:r>
              <w:rPr>
                <w:rFonts w:ascii="Calibri" w:hAnsi="Calibri" w:eastAsia="Calibri"/>
                <w:b/>
                <w:i w:val="0"/>
                <w:color w:val="FFFFFF"/>
                <w:sz w:val="17"/>
              </w:rPr>
              <w:t>Board note</w:t>
            </w:r>
          </w:p>
        </w:tc>
      </w:tr>
      <w:tr>
        <w:trPr>
          <w:cantSplit/>
        </w:trPr>
        <w:tc>
          <w:tcPr>
            <w:tcW w:w="3000" w:type="dxa"/>
            <w:shd w:fill="FFFFFF" w:val="clear"/>
            <w:vAlign w:val="center"/>
          </w:tcPr>
          <w:p>
            <w:pPr>
              <w:spacing w:before="20" w:after="20" w:line="252" w:lineRule="auto"/>
            </w:pPr>
            <w:r/>
            <w:r>
              <w:rPr>
                <w:rFonts w:ascii="Calibri" w:hAnsi="Calibri" w:eastAsia="Calibri"/>
                <w:b w:val="0"/>
                <w:i w:val="0"/>
                <w:color w:val="1A1A1A"/>
                <w:sz w:val="17"/>
              </w:rPr>
              <w:t>Form a Remuneration Committee</w:t>
            </w:r>
          </w:p>
        </w:tc>
        <w:tc>
          <w:tcPr>
            <w:tcW w:w="4680" w:type="dxa"/>
            <w:shd w:fill="FFFFFF" w:val="clear"/>
            <w:vAlign w:val="center"/>
          </w:tcPr>
          <w:p>
            <w:pPr>
              <w:spacing w:before="20" w:after="20" w:line="252" w:lineRule="auto"/>
            </w:pPr>
            <w:r/>
            <w:r>
              <w:rPr>
                <w:rFonts w:ascii="Calibri" w:hAnsi="Calibri" w:eastAsia="Calibri"/>
                <w:b w:val="0"/>
                <w:i w:val="0"/>
                <w:color w:val="1A1A1A"/>
                <w:sz w:val="17"/>
              </w:rPr>
              <w:t>Yes / Not yet / Different membership</w:t>
            </w:r>
          </w:p>
        </w:tc>
        <w:tc>
          <w:tcPr>
            <w:tcW w:w="2400" w:type="dxa"/>
            <w:shd w:fill="FFFFFF" w:val="clear"/>
            <w:vAlign w:val="center"/>
          </w:tcPr>
          <w:p>
            <w:pPr>
              <w:spacing w:before="20" w:after="20" w:line="252" w:lineRule="auto"/>
            </w:pPr>
            <w:r/>
            <w:r>
              <w:rPr>
                <w:rFonts w:ascii="Calibri" w:hAnsi="Calibri" w:eastAsia="Calibri"/>
                <w:b w:val="0"/>
                <w:i w:val="0"/>
                <w:color w:val="1A1A1A"/>
                <w:sz w:val="17"/>
              </w:rPr>
            </w:r>
          </w:p>
        </w:tc>
      </w:tr>
      <w:tr>
        <w:trPr>
          <w:cantSplit/>
        </w:trPr>
        <w:tc>
          <w:tcPr>
            <w:tcW w:w="3000" w:type="dxa"/>
            <w:shd w:fill="F4F7F4" w:val="clear"/>
            <w:vAlign w:val="center"/>
          </w:tcPr>
          <w:p>
            <w:pPr>
              <w:spacing w:before="20" w:after="20" w:line="252" w:lineRule="auto"/>
            </w:pPr>
            <w:r/>
            <w:r>
              <w:rPr>
                <w:rFonts w:ascii="Calibri" w:hAnsi="Calibri" w:eastAsia="Calibri"/>
                <w:b w:val="0"/>
                <w:i w:val="0"/>
                <w:color w:val="1A1A1A"/>
                <w:sz w:val="17"/>
              </w:rPr>
              <w:t>Membership</w:t>
            </w:r>
          </w:p>
        </w:tc>
        <w:tc>
          <w:tcPr>
            <w:tcW w:w="4680" w:type="dxa"/>
            <w:shd w:fill="F4F7F4" w:val="clear"/>
            <w:vAlign w:val="center"/>
          </w:tcPr>
          <w:p>
            <w:pPr>
              <w:spacing w:before="20" w:after="20" w:line="252" w:lineRule="auto"/>
            </w:pPr>
            <w:r/>
            <w:r>
              <w:rPr>
                <w:rFonts w:ascii="Calibri" w:hAnsi="Calibri" w:eastAsia="Calibri"/>
                <w:b w:val="0"/>
                <w:i w:val="0"/>
                <w:color w:val="1A1A1A"/>
                <w:sz w:val="17"/>
              </w:rPr>
              <w:t>Chair; two Directors; Managing Director and Finance Manager — confirm</w:t>
            </w:r>
          </w:p>
        </w:tc>
        <w:tc>
          <w:tcPr>
            <w:tcW w:w="2400" w:type="dxa"/>
            <w:shd w:fill="F4F7F4" w:val="clear"/>
            <w:vAlign w:val="center"/>
          </w:tcPr>
          <w:p>
            <w:pPr>
              <w:spacing w:before="20" w:after="20" w:line="252" w:lineRule="auto"/>
            </w:pPr>
            <w:r/>
            <w:r>
              <w:rPr>
                <w:rFonts w:ascii="Calibri" w:hAnsi="Calibri" w:eastAsia="Calibri"/>
                <w:b w:val="0"/>
                <w:i w:val="0"/>
                <w:color w:val="1A1A1A"/>
                <w:sz w:val="17"/>
              </w:rPr>
            </w:r>
          </w:p>
        </w:tc>
      </w:tr>
      <w:tr>
        <w:trPr>
          <w:cantSplit/>
        </w:trPr>
        <w:tc>
          <w:tcPr>
            <w:tcW w:w="3000" w:type="dxa"/>
            <w:shd w:fill="FFFFFF" w:val="clear"/>
            <w:vAlign w:val="center"/>
          </w:tcPr>
          <w:p>
            <w:pPr>
              <w:spacing w:before="20" w:after="20" w:line="252" w:lineRule="auto"/>
            </w:pPr>
            <w:r/>
            <w:r>
              <w:rPr>
                <w:rFonts w:ascii="Calibri" w:hAnsi="Calibri" w:eastAsia="Calibri"/>
                <w:b w:val="0"/>
                <w:i w:val="0"/>
                <w:color w:val="1A1A1A"/>
                <w:sz w:val="17"/>
              </w:rPr>
              <w:t>Market position for pay</w:t>
            </w:r>
          </w:p>
        </w:tc>
        <w:tc>
          <w:tcPr>
            <w:tcW w:w="4680" w:type="dxa"/>
            <w:shd w:fill="FFFFFF" w:val="clear"/>
            <w:vAlign w:val="center"/>
          </w:tcPr>
          <w:p>
            <w:pPr>
              <w:spacing w:before="20" w:after="20" w:line="252" w:lineRule="auto"/>
            </w:pPr>
            <w:r/>
            <w:r>
              <w:rPr>
                <w:rFonts w:ascii="Calibri" w:hAnsi="Calibri" w:eastAsia="Calibri"/>
                <w:b w:val="0"/>
                <w:i w:val="0"/>
                <w:color w:val="1A1A1A"/>
                <w:sz w:val="17"/>
              </w:rPr>
              <w:t>A quartile, or a percentage above the national minimum — to be stated</w:t>
            </w:r>
          </w:p>
        </w:tc>
        <w:tc>
          <w:tcPr>
            <w:tcW w:w="2400" w:type="dxa"/>
            <w:shd w:fill="FFFFFF" w:val="clear"/>
            <w:vAlign w:val="center"/>
          </w:tcPr>
          <w:p>
            <w:pPr>
              <w:spacing w:before="20" w:after="20" w:line="252" w:lineRule="auto"/>
            </w:pPr>
            <w:r/>
            <w:r>
              <w:rPr>
                <w:rFonts w:ascii="Calibri" w:hAnsi="Calibri" w:eastAsia="Calibri"/>
                <w:b w:val="0"/>
                <w:i w:val="0"/>
                <w:color w:val="1A1A1A"/>
                <w:sz w:val="17"/>
              </w:rPr>
            </w:r>
          </w:p>
        </w:tc>
      </w:tr>
      <w:tr>
        <w:trPr>
          <w:cantSplit/>
        </w:trPr>
        <w:tc>
          <w:tcPr>
            <w:tcW w:w="3000" w:type="dxa"/>
            <w:shd w:fill="F4F7F4" w:val="clear"/>
            <w:vAlign w:val="center"/>
          </w:tcPr>
          <w:p>
            <w:pPr>
              <w:spacing w:before="20" w:after="20" w:line="252" w:lineRule="auto"/>
            </w:pPr>
            <w:r/>
            <w:r>
              <w:rPr>
                <w:rFonts w:ascii="Calibri" w:hAnsi="Calibri" w:eastAsia="Calibri"/>
                <w:b w:val="0"/>
                <w:i w:val="0"/>
                <w:color w:val="1A1A1A"/>
                <w:sz w:val="17"/>
              </w:rPr>
              <w:t>Fixed and variable pay</w:t>
            </w:r>
          </w:p>
        </w:tc>
        <w:tc>
          <w:tcPr>
            <w:tcW w:w="4680" w:type="dxa"/>
            <w:shd w:fill="F4F7F4" w:val="clear"/>
            <w:vAlign w:val="center"/>
          </w:tcPr>
          <w:p>
            <w:pPr>
              <w:spacing w:before="20" w:after="20" w:line="252" w:lineRule="auto"/>
            </w:pPr>
            <w:r/>
            <w:r>
              <w:rPr>
                <w:rFonts w:ascii="Calibri" w:hAnsi="Calibri" w:eastAsia="Calibri"/>
                <w:b w:val="0"/>
                <w:i w:val="0"/>
                <w:color w:val="1A1A1A"/>
                <w:sz w:val="17"/>
              </w:rPr>
              <w:t>No variable pay / senior roles only / wider use</w:t>
            </w:r>
          </w:p>
        </w:tc>
        <w:tc>
          <w:tcPr>
            <w:tcW w:w="2400" w:type="dxa"/>
            <w:shd w:fill="F4F7F4" w:val="clear"/>
            <w:vAlign w:val="center"/>
          </w:tcPr>
          <w:p>
            <w:pPr>
              <w:spacing w:before="20" w:after="20" w:line="252" w:lineRule="auto"/>
            </w:pPr>
            <w:r/>
            <w:r>
              <w:rPr>
                <w:rFonts w:ascii="Calibri" w:hAnsi="Calibri" w:eastAsia="Calibri"/>
                <w:b w:val="0"/>
                <w:i w:val="0"/>
                <w:color w:val="1A1A1A"/>
                <w:sz w:val="17"/>
              </w:rPr>
            </w:r>
          </w:p>
        </w:tc>
      </w:tr>
      <w:tr>
        <w:trPr>
          <w:cantSplit/>
        </w:trPr>
        <w:tc>
          <w:tcPr>
            <w:tcW w:w="3000" w:type="dxa"/>
            <w:shd w:fill="FFFFFF" w:val="clear"/>
            <w:vAlign w:val="center"/>
          </w:tcPr>
          <w:p>
            <w:pPr>
              <w:spacing w:before="20" w:after="20" w:line="252" w:lineRule="auto"/>
            </w:pPr>
            <w:r/>
            <w:r>
              <w:rPr>
                <w:rFonts w:ascii="Calibri" w:hAnsi="Calibri" w:eastAsia="Calibri"/>
                <w:b w:val="0"/>
                <w:i w:val="0"/>
                <w:color w:val="1A1A1A"/>
                <w:sz w:val="17"/>
              </w:rPr>
              <w:t>Payroll as a share of turnover</w:t>
            </w:r>
          </w:p>
        </w:tc>
        <w:tc>
          <w:tcPr>
            <w:tcW w:w="4680" w:type="dxa"/>
            <w:shd w:fill="FFFFFF" w:val="clear"/>
            <w:vAlign w:val="center"/>
          </w:tcPr>
          <w:p>
            <w:pPr>
              <w:spacing w:before="20" w:after="20" w:line="252" w:lineRule="auto"/>
            </w:pPr>
            <w:r/>
            <w:r>
              <w:rPr>
                <w:rFonts w:ascii="Calibri" w:hAnsi="Calibri" w:eastAsia="Calibri"/>
                <w:b w:val="0"/>
                <w:i w:val="0"/>
                <w:color w:val="1A1A1A"/>
                <w:sz w:val="17"/>
              </w:rPr>
              <w:t>Separate ceilings for EPGC and EPGCR, after section 4.5 is filled in</w:t>
            </w:r>
          </w:p>
        </w:tc>
        <w:tc>
          <w:tcPr>
            <w:tcW w:w="2400" w:type="dxa"/>
            <w:shd w:fill="FFFFFF" w:val="clear"/>
            <w:vAlign w:val="center"/>
          </w:tcPr>
          <w:p>
            <w:pPr>
              <w:spacing w:before="20" w:after="20" w:line="252" w:lineRule="auto"/>
            </w:pPr>
            <w:r/>
            <w:r>
              <w:rPr>
                <w:rFonts w:ascii="Calibri" w:hAnsi="Calibri" w:eastAsia="Calibri"/>
                <w:b w:val="0"/>
                <w:i w:val="0"/>
                <w:color w:val="1A1A1A"/>
                <w:sz w:val="17"/>
              </w:rPr>
            </w:r>
          </w:p>
        </w:tc>
      </w:tr>
      <w:tr>
        <w:trPr>
          <w:cantSplit/>
        </w:trPr>
        <w:tc>
          <w:tcPr>
            <w:tcW w:w="3000" w:type="dxa"/>
            <w:shd w:fill="F4F7F4" w:val="clear"/>
            <w:vAlign w:val="center"/>
          </w:tcPr>
          <w:p>
            <w:pPr>
              <w:spacing w:before="20" w:after="20" w:line="252" w:lineRule="auto"/>
            </w:pPr>
            <w:r/>
            <w:r>
              <w:rPr>
                <w:rFonts w:ascii="Calibri" w:hAnsi="Calibri" w:eastAsia="Calibri"/>
                <w:b w:val="0"/>
                <w:i w:val="0"/>
                <w:color w:val="1A1A1A"/>
                <w:sz w:val="17"/>
              </w:rPr>
              <w:t>Who the development programme is for</w:t>
            </w:r>
          </w:p>
        </w:tc>
        <w:tc>
          <w:tcPr>
            <w:tcW w:w="4680" w:type="dxa"/>
            <w:shd w:fill="F4F7F4" w:val="clear"/>
            <w:vAlign w:val="center"/>
          </w:tcPr>
          <w:p>
            <w:pPr>
              <w:spacing w:before="20" w:after="20" w:line="252" w:lineRule="auto"/>
            </w:pPr>
            <w:r/>
            <w:r>
              <w:rPr>
                <w:rFonts w:ascii="Calibri" w:hAnsi="Calibri" w:eastAsia="Calibri"/>
                <w:b w:val="0"/>
                <w:i w:val="0"/>
                <w:color w:val="1A1A1A"/>
                <w:sz w:val="17"/>
              </w:rPr>
              <w:t>Core team / all staff</w:t>
            </w:r>
          </w:p>
        </w:tc>
        <w:tc>
          <w:tcPr>
            <w:tcW w:w="2400" w:type="dxa"/>
            <w:shd w:fill="F4F7F4" w:val="clear"/>
            <w:vAlign w:val="center"/>
          </w:tcPr>
          <w:p>
            <w:pPr>
              <w:spacing w:before="20" w:after="20" w:line="252" w:lineRule="auto"/>
            </w:pPr>
            <w:r/>
            <w:r>
              <w:rPr>
                <w:rFonts w:ascii="Calibri" w:hAnsi="Calibri" w:eastAsia="Calibri"/>
                <w:b w:val="0"/>
                <w:i w:val="0"/>
                <w:color w:val="1A1A1A"/>
                <w:sz w:val="17"/>
              </w:rPr>
            </w:r>
          </w:p>
        </w:tc>
      </w:tr>
      <w:tr>
        <w:trPr>
          <w:cantSplit/>
        </w:trPr>
        <w:tc>
          <w:tcPr>
            <w:tcW w:w="3000" w:type="dxa"/>
            <w:shd w:fill="FFFFFF" w:val="clear"/>
            <w:vAlign w:val="center"/>
          </w:tcPr>
          <w:p>
            <w:pPr>
              <w:spacing w:before="20" w:after="20" w:line="252" w:lineRule="auto"/>
            </w:pPr>
            <w:r/>
            <w:r>
              <w:rPr>
                <w:rFonts w:ascii="Calibri" w:hAnsi="Calibri" w:eastAsia="Calibri"/>
                <w:b w:val="0"/>
                <w:i w:val="0"/>
                <w:color w:val="1A1A1A"/>
                <w:sz w:val="17"/>
              </w:rPr>
              <w:t>Six-month working party</w:t>
            </w:r>
          </w:p>
        </w:tc>
        <w:tc>
          <w:tcPr>
            <w:tcW w:w="4680" w:type="dxa"/>
            <w:shd w:fill="FFFFFF" w:val="clear"/>
            <w:vAlign w:val="center"/>
          </w:tcPr>
          <w:p>
            <w:pPr>
              <w:spacing w:before="20" w:after="20" w:line="252" w:lineRule="auto"/>
            </w:pPr>
            <w:r/>
            <w:r>
              <w:rPr>
                <w:rFonts w:ascii="Calibri" w:hAnsi="Calibri" w:eastAsia="Calibri"/>
                <w:b w:val="0"/>
                <w:i w:val="0"/>
                <w:color w:val="1A1A1A"/>
                <w:sz w:val="17"/>
              </w:rPr>
              <w:t>Yes / No. First task: find the previous working party’s output</w:t>
            </w:r>
          </w:p>
        </w:tc>
        <w:tc>
          <w:tcPr>
            <w:tcW w:w="2400" w:type="dxa"/>
            <w:shd w:fill="FFFFFF" w:val="clear"/>
            <w:vAlign w:val="center"/>
          </w:tcPr>
          <w:p>
            <w:pPr>
              <w:spacing w:before="20" w:after="20" w:line="252" w:lineRule="auto"/>
            </w:pPr>
            <w:r/>
            <w:r>
              <w:rPr>
                <w:rFonts w:ascii="Calibri" w:hAnsi="Calibri" w:eastAsia="Calibri"/>
                <w:b w:val="0"/>
                <w:i w:val="0"/>
                <w:color w:val="1A1A1A"/>
                <w:sz w:val="17"/>
              </w:rPr>
            </w:r>
          </w:p>
        </w:tc>
      </w:tr>
      <w:tr>
        <w:trPr>
          <w:cantSplit/>
        </w:trPr>
        <w:tc>
          <w:tcPr>
            <w:tcW w:w="3000" w:type="dxa"/>
            <w:shd w:fill="F4F7F4" w:val="clear"/>
            <w:vAlign w:val="center"/>
          </w:tcPr>
          <w:p>
            <w:pPr>
              <w:spacing w:before="20" w:after="20" w:line="252" w:lineRule="auto"/>
            </w:pPr>
            <w:r/>
            <w:r>
              <w:rPr>
                <w:rFonts w:ascii="Calibri" w:hAnsi="Calibri" w:eastAsia="Calibri"/>
                <w:b w:val="0"/>
                <w:i w:val="0"/>
                <w:color w:val="1A1A1A"/>
                <w:sz w:val="17"/>
              </w:rPr>
              <w:t>Labour consultant</w:t>
            </w:r>
          </w:p>
        </w:tc>
        <w:tc>
          <w:tcPr>
            <w:tcW w:w="4680" w:type="dxa"/>
            <w:shd w:fill="F4F7F4" w:val="clear"/>
            <w:vAlign w:val="center"/>
          </w:tcPr>
          <w:p>
            <w:pPr>
              <w:spacing w:before="20" w:after="20" w:line="252" w:lineRule="auto"/>
            </w:pPr>
            <w:r/>
            <w:r>
              <w:rPr>
                <w:rFonts w:ascii="Calibri" w:hAnsi="Calibri" w:eastAsia="Calibri"/>
                <w:b w:val="0"/>
                <w:i w:val="0"/>
                <w:color w:val="1A1A1A"/>
                <w:sz w:val="17"/>
              </w:rPr>
              <w:t>Written technical advice before any policy is approved</w:t>
            </w:r>
          </w:p>
        </w:tc>
        <w:tc>
          <w:tcPr>
            <w:tcW w:w="2400" w:type="dxa"/>
            <w:shd w:fill="F4F7F4" w:val="clear"/>
            <w:vAlign w:val="center"/>
          </w:tcPr>
          <w:p>
            <w:pPr>
              <w:spacing w:before="20" w:after="20" w:line="252" w:lineRule="auto"/>
            </w:pPr>
            <w:r/>
            <w:r>
              <w:rPr>
                <w:rFonts w:ascii="Calibri" w:hAnsi="Calibri" w:eastAsia="Calibri"/>
                <w:b w:val="0"/>
                <w:i w:val="0"/>
                <w:color w:val="1A1A1A"/>
                <w:sz w:val="17"/>
              </w:rPr>
            </w:r>
          </w:p>
        </w:tc>
      </w:tr>
    </w:tbl>
    <w:p>
      <w:pPr>
        <w:spacing w:before="200" w:after="40" w:line="269" w:lineRule="auto"/>
      </w:pPr>
      <w:r>
        <w:rPr>
          <w:rFonts w:ascii="Calibri" w:hAnsi="Calibri" w:eastAsia="Calibri"/>
          <w:b/>
          <w:i w:val="0"/>
          <w:color w:val="1A1A1A"/>
          <w:sz w:val="22"/>
        </w:rPr>
        <w:t>2027 salary-review choices, once the evidence exists</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4200"/>
        <w:gridCol w:w="3480"/>
        <w:gridCol w:w="2400"/>
      </w:tblGrid>
      <w:tr>
        <w:trPr>
          <w:tblHeader/>
          <w:cantSplit/>
        </w:trPr>
        <w:tc>
          <w:tcPr>
            <w:tcW w:w="4200" w:type="dxa"/>
            <w:shd w:fill="1B4D3E" w:val="clear"/>
            <w:vAlign w:val="center"/>
          </w:tcPr>
          <w:p>
            <w:pPr>
              <w:spacing w:before="20" w:after="20" w:line="252" w:lineRule="auto"/>
            </w:pPr>
            <w:r/>
            <w:r>
              <w:rPr>
                <w:rFonts w:ascii="Calibri" w:hAnsi="Calibri" w:eastAsia="Calibri"/>
                <w:b/>
                <w:i w:val="0"/>
                <w:color w:val="FFFFFF"/>
                <w:sz w:val="17"/>
              </w:rPr>
              <w:t>Decision</w:t>
            </w:r>
          </w:p>
        </w:tc>
        <w:tc>
          <w:tcPr>
            <w:tcW w:w="3480" w:type="dxa"/>
            <w:shd w:fill="1B4D3E" w:val="clear"/>
            <w:vAlign w:val="center"/>
          </w:tcPr>
          <w:p>
            <w:pPr>
              <w:spacing w:before="20" w:after="20" w:line="252" w:lineRule="auto"/>
            </w:pPr>
            <w:r/>
            <w:r>
              <w:rPr>
                <w:rFonts w:ascii="Calibri" w:hAnsi="Calibri" w:eastAsia="Calibri"/>
                <w:b/>
                <w:i w:val="0"/>
                <w:color w:val="FFFFFF"/>
                <w:sz w:val="17"/>
              </w:rPr>
              <w:t>Option / figure</w:t>
            </w:r>
          </w:p>
        </w:tc>
        <w:tc>
          <w:tcPr>
            <w:tcW w:w="2400" w:type="dxa"/>
            <w:shd w:fill="1B4D3E" w:val="clear"/>
            <w:vAlign w:val="center"/>
          </w:tcPr>
          <w:p>
            <w:pPr>
              <w:spacing w:before="20" w:after="20" w:line="252" w:lineRule="auto"/>
            </w:pPr>
            <w:r/>
            <w:r>
              <w:rPr>
                <w:rFonts w:ascii="Calibri" w:hAnsi="Calibri" w:eastAsia="Calibri"/>
                <w:b/>
                <w:i w:val="0"/>
                <w:color w:val="FFFFFF"/>
                <w:sz w:val="17"/>
              </w:rPr>
              <w:t>Board note</w:t>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7"/>
              </w:rPr>
              <w:t>General salary-review budget scenario</w:t>
            </w:r>
          </w:p>
        </w:tc>
        <w:tc>
          <w:tcPr>
            <w:tcW w:w="3480" w:type="dxa"/>
            <w:shd w:fill="FFFFFF" w:val="clear"/>
            <w:vAlign w:val="center"/>
          </w:tcPr>
          <w:p>
            <w:pPr>
              <w:spacing w:before="20" w:after="20" w:line="252" w:lineRule="auto"/>
            </w:pPr>
            <w:r/>
            <w:r>
              <w:rPr>
                <w:rFonts w:ascii="Calibri" w:hAnsi="Calibri" w:eastAsia="Calibri"/>
                <w:b w:val="0"/>
                <w:i w:val="0"/>
                <w:color w:val="1A1A1A"/>
                <w:sz w:val="17"/>
              </w:rPr>
              <w:t>2% / 4% / 5% / other</w:t>
            </w:r>
          </w:p>
        </w:tc>
        <w:tc>
          <w:tcPr>
            <w:tcW w:w="2400" w:type="dxa"/>
            <w:shd w:fill="FFFFFF" w:val="clear"/>
            <w:vAlign w:val="center"/>
          </w:tcPr>
          <w:p>
            <w:pPr>
              <w:spacing w:before="20" w:after="20" w:line="252" w:lineRule="auto"/>
            </w:pPr>
            <w:r/>
            <w:r>
              <w:rPr>
                <w:rFonts w:ascii="Calibri" w:hAnsi="Calibri" w:eastAsia="Calibri"/>
                <w:b w:val="0"/>
                <w:i w:val="0"/>
                <w:color w:val="1A1A1A"/>
                <w:sz w:val="17"/>
              </w:rPr>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7"/>
              </w:rPr>
              <w:t>Minimum-pay compliance corrections required</w:t>
            </w:r>
          </w:p>
        </w:tc>
        <w:tc>
          <w:tcPr>
            <w:tcW w:w="3480" w:type="dxa"/>
            <w:shd w:fill="F4F7F4" w:val="clear"/>
            <w:vAlign w:val="center"/>
          </w:tcPr>
          <w:p>
            <w:pPr>
              <w:spacing w:before="20" w:after="20" w:line="252" w:lineRule="auto"/>
            </w:pPr>
            <w:r/>
            <w:r>
              <w:rPr>
                <w:rFonts w:ascii="Calibri" w:hAnsi="Calibri" w:eastAsia="Calibri"/>
                <w:b w:val="0"/>
                <w:i w:val="0"/>
                <w:color w:val="1A1A1A"/>
                <w:sz w:val="17"/>
              </w:rPr>
              <w:t>Yes / No / To confirm</w:t>
            </w:r>
          </w:p>
        </w:tc>
        <w:tc>
          <w:tcPr>
            <w:tcW w:w="2400" w:type="dxa"/>
            <w:shd w:fill="F4F7F4" w:val="clear"/>
            <w:vAlign w:val="center"/>
          </w:tcPr>
          <w:p>
            <w:pPr>
              <w:spacing w:before="20" w:after="20" w:line="252" w:lineRule="auto"/>
            </w:pPr>
            <w:r/>
            <w:r>
              <w:rPr>
                <w:rFonts w:ascii="Calibri" w:hAnsi="Calibri" w:eastAsia="Calibri"/>
                <w:b w:val="0"/>
                <w:i w:val="0"/>
                <w:color w:val="1A1A1A"/>
                <w:sz w:val="17"/>
              </w:rPr>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7"/>
              </w:rPr>
              <w:t>Targeted support for lower-paid staff</w:t>
            </w:r>
          </w:p>
        </w:tc>
        <w:tc>
          <w:tcPr>
            <w:tcW w:w="3480" w:type="dxa"/>
            <w:shd w:fill="FFFFFF" w:val="clear"/>
            <w:vAlign w:val="center"/>
          </w:tcPr>
          <w:p>
            <w:pPr>
              <w:spacing w:before="20" w:after="20" w:line="252" w:lineRule="auto"/>
            </w:pPr>
            <w:r/>
            <w:r>
              <w:rPr>
                <w:rFonts w:ascii="Calibri" w:hAnsi="Calibri" w:eastAsia="Calibri"/>
                <w:b w:val="0"/>
                <w:i w:val="0"/>
                <w:color w:val="1A1A1A"/>
                <w:sz w:val="17"/>
              </w:rPr>
              <w:t>Yes / No / To model</w:t>
            </w:r>
          </w:p>
        </w:tc>
        <w:tc>
          <w:tcPr>
            <w:tcW w:w="2400" w:type="dxa"/>
            <w:shd w:fill="FFFFFF" w:val="clear"/>
            <w:vAlign w:val="center"/>
          </w:tcPr>
          <w:p>
            <w:pPr>
              <w:spacing w:before="20" w:after="20" w:line="252" w:lineRule="auto"/>
            </w:pPr>
            <w:r/>
            <w:r>
              <w:rPr>
                <w:rFonts w:ascii="Calibri" w:hAnsi="Calibri" w:eastAsia="Calibri"/>
                <w:b w:val="0"/>
                <w:i w:val="0"/>
                <w:color w:val="1A1A1A"/>
                <w:sz w:val="17"/>
              </w:rPr>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7"/>
              </w:rPr>
              <w:t>Benefits to investigate</w:t>
            </w:r>
          </w:p>
        </w:tc>
        <w:tc>
          <w:tcPr>
            <w:tcW w:w="3480" w:type="dxa"/>
            <w:shd w:fill="F4F7F4" w:val="clear"/>
            <w:vAlign w:val="center"/>
          </w:tcPr>
          <w:p>
            <w:pPr>
              <w:spacing w:before="20" w:after="20" w:line="252" w:lineRule="auto"/>
            </w:pPr>
            <w:r/>
            <w:r>
              <w:rPr>
                <w:rFonts w:ascii="Calibri" w:hAnsi="Calibri" w:eastAsia="Calibri"/>
                <w:b w:val="0"/>
                <w:i w:val="0"/>
                <w:color w:val="1A1A1A"/>
                <w:sz w:val="17"/>
              </w:rPr>
              <w:t>Childcare / transport / meals / health insurance / other</w:t>
            </w:r>
          </w:p>
        </w:tc>
        <w:tc>
          <w:tcPr>
            <w:tcW w:w="2400" w:type="dxa"/>
            <w:shd w:fill="F4F7F4" w:val="clear"/>
            <w:vAlign w:val="center"/>
          </w:tcPr>
          <w:p>
            <w:pPr>
              <w:spacing w:before="20" w:after="20" w:line="252" w:lineRule="auto"/>
            </w:pPr>
            <w:r/>
            <w:r>
              <w:rPr>
                <w:rFonts w:ascii="Calibri" w:hAnsi="Calibri" w:eastAsia="Calibri"/>
                <w:b w:val="0"/>
                <w:i w:val="0"/>
                <w:color w:val="1A1A1A"/>
                <w:sz w:val="17"/>
              </w:rPr>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7"/>
              </w:rPr>
              <w:t>Estimated gross payroll impact</w:t>
            </w:r>
          </w:p>
        </w:tc>
        <w:tc>
          <w:tcPr>
            <w:tcW w:w="3480" w:type="dxa"/>
            <w:shd w:fill="FFFFFF" w:val="clear"/>
            <w:vAlign w:val="center"/>
          </w:tcPr>
          <w:p>
            <w:pPr>
              <w:spacing w:before="20" w:after="20" w:line="252" w:lineRule="auto"/>
            </w:pPr>
            <w:r/>
            <w:r>
              <w:rPr>
                <w:rFonts w:ascii="Calibri" w:hAnsi="Calibri" w:eastAsia="Calibri"/>
                <w:b w:val="0"/>
                <w:i w:val="0"/>
                <w:color w:val="1A1A1A"/>
                <w:sz w:val="17"/>
              </w:rPr>
              <w:t>€</w:t>
            </w:r>
          </w:p>
        </w:tc>
        <w:tc>
          <w:tcPr>
            <w:tcW w:w="2400" w:type="dxa"/>
            <w:shd w:fill="FFFFFF" w:val="clear"/>
            <w:vAlign w:val="center"/>
          </w:tcPr>
          <w:p>
            <w:pPr>
              <w:spacing w:before="20" w:after="20" w:line="252" w:lineRule="auto"/>
            </w:pPr>
            <w:r/>
            <w:r>
              <w:rPr>
                <w:rFonts w:ascii="Calibri" w:hAnsi="Calibri" w:eastAsia="Calibri"/>
                <w:b w:val="0"/>
                <w:i w:val="0"/>
                <w:color w:val="1A1A1A"/>
                <w:sz w:val="17"/>
              </w:rPr>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7"/>
              </w:rPr>
              <w:t>Estimated total employer-cost impact</w:t>
            </w:r>
          </w:p>
        </w:tc>
        <w:tc>
          <w:tcPr>
            <w:tcW w:w="3480" w:type="dxa"/>
            <w:shd w:fill="F4F7F4" w:val="clear"/>
            <w:vAlign w:val="center"/>
          </w:tcPr>
          <w:p>
            <w:pPr>
              <w:spacing w:before="20" w:after="20" w:line="252" w:lineRule="auto"/>
            </w:pPr>
            <w:r/>
            <w:r>
              <w:rPr>
                <w:rFonts w:ascii="Calibri" w:hAnsi="Calibri" w:eastAsia="Calibri"/>
                <w:b w:val="0"/>
                <w:i w:val="0"/>
                <w:color w:val="1A1A1A"/>
                <w:sz w:val="17"/>
              </w:rPr>
              <w:t>€</w:t>
            </w:r>
          </w:p>
        </w:tc>
        <w:tc>
          <w:tcPr>
            <w:tcW w:w="2400" w:type="dxa"/>
            <w:shd w:fill="F4F7F4" w:val="clear"/>
            <w:vAlign w:val="center"/>
          </w:tcPr>
          <w:p>
            <w:pPr>
              <w:spacing w:before="20" w:after="20" w:line="252" w:lineRule="auto"/>
            </w:pPr>
            <w:r/>
            <w:r>
              <w:rPr>
                <w:rFonts w:ascii="Calibri" w:hAnsi="Calibri" w:eastAsia="Calibri"/>
                <w:b w:val="0"/>
                <w:i w:val="0"/>
                <w:color w:val="1A1A1A"/>
                <w:sz w:val="17"/>
              </w:rPr>
            </w:r>
          </w:p>
        </w:tc>
      </w:tr>
      <w:tr>
        <w:trPr>
          <w:cantSplit/>
        </w:trPr>
        <w:tc>
          <w:tcPr>
            <w:tcW w:w="4200" w:type="dxa"/>
            <w:shd w:fill="FFFFFF" w:val="clear"/>
            <w:vAlign w:val="center"/>
          </w:tcPr>
          <w:p>
            <w:pPr>
              <w:spacing w:before="20" w:after="20" w:line="252" w:lineRule="auto"/>
            </w:pPr>
            <w:r/>
            <w:r>
              <w:rPr>
                <w:rFonts w:ascii="Calibri" w:hAnsi="Calibri" w:eastAsia="Calibri"/>
                <w:b w:val="0"/>
                <w:i w:val="0"/>
                <w:color w:val="1A1A1A"/>
                <w:sz w:val="17"/>
              </w:rPr>
              <w:t>Effective date, subject to approval</w:t>
            </w:r>
          </w:p>
        </w:tc>
        <w:tc>
          <w:tcPr>
            <w:tcW w:w="3480" w:type="dxa"/>
            <w:shd w:fill="FFFFFF" w:val="clear"/>
            <w:vAlign w:val="center"/>
          </w:tcPr>
          <w:p>
            <w:pPr>
              <w:spacing w:before="20" w:after="20" w:line="252" w:lineRule="auto"/>
            </w:pPr>
            <w:r/>
            <w:r>
              <w:rPr>
                <w:rFonts w:ascii="Calibri" w:hAnsi="Calibri" w:eastAsia="Calibri"/>
                <w:b w:val="0"/>
                <w:i w:val="0"/>
                <w:color w:val="1A1A1A"/>
                <w:sz w:val="17"/>
              </w:rPr>
            </w:r>
          </w:p>
        </w:tc>
        <w:tc>
          <w:tcPr>
            <w:tcW w:w="2400" w:type="dxa"/>
            <w:shd w:fill="FFFFFF" w:val="clear"/>
            <w:vAlign w:val="center"/>
          </w:tcPr>
          <w:p>
            <w:pPr>
              <w:spacing w:before="20" w:after="20" w:line="252" w:lineRule="auto"/>
            </w:pPr>
            <w:r/>
            <w:r>
              <w:rPr>
                <w:rFonts w:ascii="Calibri" w:hAnsi="Calibri" w:eastAsia="Calibri"/>
                <w:b w:val="0"/>
                <w:i w:val="0"/>
                <w:color w:val="1A1A1A"/>
                <w:sz w:val="17"/>
              </w:rPr>
            </w:r>
          </w:p>
        </w:tc>
      </w:tr>
      <w:tr>
        <w:trPr>
          <w:cantSplit/>
        </w:trPr>
        <w:tc>
          <w:tcPr>
            <w:tcW w:w="4200" w:type="dxa"/>
            <w:shd w:fill="F4F7F4" w:val="clear"/>
            <w:vAlign w:val="center"/>
          </w:tcPr>
          <w:p>
            <w:pPr>
              <w:spacing w:before="20" w:after="20" w:line="252" w:lineRule="auto"/>
            </w:pPr>
            <w:r/>
            <w:r>
              <w:rPr>
                <w:rFonts w:ascii="Calibri" w:hAnsi="Calibri" w:eastAsia="Calibri"/>
                <w:b w:val="0"/>
                <w:i w:val="0"/>
                <w:color w:val="1A1A1A"/>
                <w:sz w:val="17"/>
              </w:rPr>
              <w:t>Payroll and legal review completed</w:t>
            </w:r>
          </w:p>
        </w:tc>
        <w:tc>
          <w:tcPr>
            <w:tcW w:w="3480" w:type="dxa"/>
            <w:shd w:fill="F4F7F4" w:val="clear"/>
            <w:vAlign w:val="center"/>
          </w:tcPr>
          <w:p>
            <w:pPr>
              <w:spacing w:before="20" w:after="20" w:line="252" w:lineRule="auto"/>
            </w:pPr>
            <w:r/>
            <w:r>
              <w:rPr>
                <w:rFonts w:ascii="Calibri" w:hAnsi="Calibri" w:eastAsia="Calibri"/>
                <w:b w:val="0"/>
                <w:i w:val="0"/>
                <w:color w:val="1A1A1A"/>
                <w:sz w:val="17"/>
              </w:rPr>
              <w:t>Yes / No</w:t>
            </w:r>
          </w:p>
        </w:tc>
        <w:tc>
          <w:tcPr>
            <w:tcW w:w="2400" w:type="dxa"/>
            <w:shd w:fill="F4F7F4" w:val="clear"/>
            <w:vAlign w:val="center"/>
          </w:tcPr>
          <w:p>
            <w:pPr>
              <w:spacing w:before="20" w:after="20" w:line="252" w:lineRule="auto"/>
            </w:pPr>
            <w:r/>
            <w:r>
              <w:rPr>
                <w:rFonts w:ascii="Calibri" w:hAnsi="Calibri" w:eastAsia="Calibri"/>
                <w:b w:val="0"/>
                <w:i w:val="0"/>
                <w:color w:val="1A1A1A"/>
                <w:sz w:val="17"/>
              </w:rPr>
            </w:r>
          </w:p>
        </w:tc>
      </w:tr>
    </w:tbl>
    <w:p>
      <w:pPr>
        <w:pStyle w:val="Heading2"/>
        <w:spacing w:before="200" w:after="80"/>
      </w:pPr>
      <w:r>
        <w:rPr>
          <w:rFonts w:ascii="Calibri" w:hAnsi="Calibri" w:eastAsia="Calibri"/>
          <w:color w:val="1F3D32"/>
        </w:rPr>
        <w:t>Document control</w:t>
      </w:r>
    </w:p>
    <w:tbl>
      <w:tblPr>
        <w:tblStyle w:val="TableGrid"/>
        <w:tblW w:type="dxa" w:w="10080"/>
        <w:jc w:val="center"/>
        <w:tblLook w:firstColumn="1" w:firstRow="1" w:lastColumn="0" w:lastRow="0" w:noHBand="0" w:noVBand="1" w:val="04A0"/>
        <w:tblBorders>
          <w:top w:val="single" w:sz="4" w:space="0" w:color="C5D0C8"/>
          <w:left w:val="single" w:sz="4" w:space="0" w:color="C5D0C8"/>
          <w:bottom w:val="single" w:sz="4" w:space="0" w:color="C5D0C8"/>
          <w:right w:val="single" w:sz="4" w:space="0" w:color="C5D0C8"/>
          <w:insideH w:val="single" w:sz="4" w:space="0" w:color="C5D0C8"/>
          <w:insideV w:val="single" w:sz="4" w:space="0" w:color="C5D0C8"/>
        </w:tblBorders>
        <w:tblLayout w:type="fixed"/>
        <w:tblCellMar>
          <w:top w:w="70" w:type="dxa"/>
          <w:left w:w="70" w:type="dxa"/>
          <w:bottom w:w="70" w:type="dxa"/>
          <w:right w:w="70" w:type="dxa"/>
        </w:tblCellMar>
      </w:tblPr>
      <w:tblGrid>
        <w:gridCol w:w="2800"/>
        <w:gridCol w:w="7280"/>
      </w:tblGrid>
      <w:tr>
        <w:trPr>
          <w:tblHeader/>
          <w:cantSplit/>
        </w:trPr>
        <w:tc>
          <w:tcPr>
            <w:tcW w:w="2800" w:type="dxa"/>
            <w:shd w:fill="1B4D3E" w:val="clear"/>
            <w:vAlign w:val="center"/>
          </w:tcPr>
          <w:p>
            <w:pPr>
              <w:spacing w:before="20" w:after="20" w:line="252" w:lineRule="auto"/>
            </w:pPr>
            <w:r/>
            <w:r>
              <w:rPr>
                <w:rFonts w:ascii="Calibri" w:hAnsi="Calibri" w:eastAsia="Calibri"/>
                <w:b/>
                <w:i w:val="0"/>
                <w:color w:val="FFFFFF"/>
                <w:sz w:val="18"/>
              </w:rPr>
              <w:t>Item</w:t>
            </w:r>
          </w:p>
        </w:tc>
        <w:tc>
          <w:tcPr>
            <w:tcW w:w="7280" w:type="dxa"/>
            <w:shd w:fill="1B4D3E" w:val="clear"/>
            <w:vAlign w:val="center"/>
          </w:tcPr>
          <w:p>
            <w:pPr>
              <w:spacing w:before="20" w:after="20" w:line="252" w:lineRule="auto"/>
            </w:pPr>
            <w:r/>
            <w:r>
              <w:rPr>
                <w:rFonts w:ascii="Calibri" w:hAnsi="Calibri" w:eastAsia="Calibri"/>
                <w:b/>
                <w:i w:val="0"/>
                <w:color w:val="FFFFFF"/>
                <w:sz w:val="18"/>
              </w:rPr>
              <w:t>Record</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8"/>
              </w:rPr>
              <w:t>Version</w:t>
            </w:r>
          </w:p>
        </w:tc>
        <w:tc>
          <w:tcPr>
            <w:tcW w:w="7280" w:type="dxa"/>
            <w:shd w:fill="FFFFFF" w:val="clear"/>
            <w:vAlign w:val="center"/>
          </w:tcPr>
          <w:p>
            <w:pPr>
              <w:spacing w:before="20" w:after="20" w:line="252" w:lineRule="auto"/>
            </w:pPr>
            <w:r/>
            <w:r>
              <w:rPr>
                <w:rFonts w:ascii="Calibri" w:hAnsi="Calibri" w:eastAsia="Calibri"/>
                <w:b w:val="0"/>
                <w:i w:val="0"/>
                <w:color w:val="1A1A1A"/>
                <w:sz w:val="18"/>
              </w:rPr>
              <w:t>2 — project plan, restructured 16 October 2026.</w:t>
            </w:r>
          </w:p>
        </w:tc>
      </w:tr>
      <w:tr>
        <w:trPr>
          <w:cantSplit/>
        </w:trPr>
        <w:tc>
          <w:tcPr>
            <w:tcW w:w="2800" w:type="dxa"/>
            <w:shd w:fill="F4F7F4" w:val="clear"/>
            <w:vAlign w:val="center"/>
          </w:tcPr>
          <w:p>
            <w:pPr>
              <w:spacing w:before="20" w:after="20" w:line="252" w:lineRule="auto"/>
            </w:pPr>
            <w:r/>
            <w:r>
              <w:rPr>
                <w:rFonts w:ascii="Calibri" w:hAnsi="Calibri" w:eastAsia="Calibri"/>
                <w:b w:val="0"/>
                <w:i w:val="0"/>
                <w:color w:val="1A1A1A"/>
                <w:sz w:val="18"/>
              </w:rPr>
              <w:t>Supersedes</w:t>
            </w:r>
          </w:p>
        </w:tc>
        <w:tc>
          <w:tcPr>
            <w:tcW w:w="7280" w:type="dxa"/>
            <w:shd w:fill="F4F7F4" w:val="clear"/>
            <w:vAlign w:val="center"/>
          </w:tcPr>
          <w:p>
            <w:pPr>
              <w:spacing w:before="20" w:after="20" w:line="252" w:lineRule="auto"/>
            </w:pPr>
            <w:r/>
            <w:r>
              <w:rPr>
                <w:rFonts w:ascii="Calibri" w:hAnsi="Calibri" w:eastAsia="Calibri"/>
                <w:b w:val="0"/>
                <w:i w:val="0"/>
                <w:color w:val="1A1A1A"/>
                <w:sz w:val="18"/>
              </w:rPr>
              <w:t>Version 1, baseline proposal and current-state assessment, 12 October 2026, with the 2027 salary-review section added 13 October 2026.</w:t>
            </w:r>
          </w:p>
        </w:tc>
      </w:tr>
      <w:tr>
        <w:trPr>
          <w:cantSplit/>
        </w:trPr>
        <w:tc>
          <w:tcPr>
            <w:tcW w:w="2800" w:type="dxa"/>
            <w:shd w:fill="FFFFFF" w:val="clear"/>
            <w:vAlign w:val="center"/>
          </w:tcPr>
          <w:p>
            <w:pPr>
              <w:spacing w:before="20" w:after="20" w:line="252" w:lineRule="auto"/>
            </w:pPr>
            <w:r/>
            <w:r>
              <w:rPr>
                <w:rFonts w:ascii="Calibri" w:hAnsi="Calibri" w:eastAsia="Calibri"/>
                <w:b w:val="0"/>
                <w:i w:val="0"/>
                <w:color w:val="1A1A1A"/>
                <w:sz w:val="18"/>
              </w:rPr>
              <w:t>Status</w:t>
            </w:r>
          </w:p>
        </w:tc>
        <w:tc>
          <w:tcPr>
            <w:tcW w:w="7280" w:type="dxa"/>
            <w:shd w:fill="FFFFFF" w:val="clear"/>
            <w:vAlign w:val="center"/>
          </w:tcPr>
          <w:p>
            <w:pPr>
              <w:spacing w:before="20" w:after="20" w:line="252" w:lineRule="auto"/>
            </w:pPr>
            <w:r/>
            <w:r>
              <w:rPr>
                <w:rFonts w:ascii="Calibri" w:hAnsi="Calibri" w:eastAsia="Calibri"/>
                <w:b w:val="0"/>
                <w:i w:val="0"/>
                <w:color w:val="1A1A1A"/>
                <w:sz w:val="18"/>
              </w:rPr>
              <w:t>Working document. Not an approved staffing or pay policy.</w:t>
            </w:r>
          </w:p>
        </w:tc>
      </w:tr>
      <w:tr>
        <w:trPr>
          <w:cantSplit/>
        </w:trPr>
        <w:tc>
          <w:tcPr>
            <w:tcW w:w="2800" w:type="dxa"/>
            <w:shd w:fill="F4F7F4" w:val="clear"/>
            <w:vAlign w:val="center"/>
          </w:tcPr>
          <w:p>
            <w:pPr>
              <w:spacing w:before="20" w:after="20" w:line="252" w:lineRule="auto"/>
            </w:pPr>
            <w:r/>
            <w:r>
              <w:rPr>
                <w:rFonts w:ascii="Calibri" w:hAnsi="Calibri" w:eastAsia="Calibri"/>
                <w:b w:val="0"/>
                <w:i w:val="0"/>
                <w:color w:val="1A1A1A"/>
                <w:sz w:val="18"/>
              </w:rPr>
              <w:t>Next structural review</w:t>
            </w:r>
          </w:p>
        </w:tc>
        <w:tc>
          <w:tcPr>
            <w:tcW w:w="7280" w:type="dxa"/>
            <w:shd w:fill="F4F7F4" w:val="clear"/>
            <w:vAlign w:val="center"/>
          </w:tcPr>
          <w:p>
            <w:pPr>
              <w:spacing w:before="20" w:after="20" w:line="252" w:lineRule="auto"/>
            </w:pPr>
            <w:r/>
            <w:r>
              <w:rPr>
                <w:rFonts w:ascii="Calibri" w:hAnsi="Calibri" w:eastAsia="Calibri"/>
                <w:b w:val="0"/>
                <w:i w:val="0"/>
                <w:color w:val="1A1A1A"/>
                <w:sz w:val="18"/>
              </w:rPr>
              <w:t>After CG completes Part 1 (1 November 2026) and RL completes the migration plan in Part 4 (30 November 2026).</w:t>
            </w:r>
          </w:p>
        </w:tc>
      </w:tr>
    </w:tbl>
    <w:sectPr w:rsidR="00FC693F" w:rsidRPr="0006063C" w:rsidSect="00034616">
      <w:headerReference w:type="default" r:id="rId9"/>
      <w:footerReference w:type="default" r:id="rId10"/>
      <w:pgSz w:w="11906" w:h="16838"/>
      <w:pgMar w:top="907" w:right="907" w:bottom="907" w:left="907" w:header="34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Calibri" w:hAnsi="Calibri"/>
        <w:color w:val="6B7C72"/>
        <w:sz w:val="16"/>
      </w:rPr>
      <w:t xml:space="preserve">El Paraiso  ·  Staffing, organisation and remuneration framework  ·  Version 2  ·  16 October 2026  ·  Page </w:t>
    </w:r>
    <w:r>
      <w:rPr>
        <w:rFonts w:ascii="Calibri" w:hAnsi="Calibri"/>
        <w:color w:val="6B7C72"/>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i/>
        <w:color w:val="6B7C72"/>
        <w:sz w:val="16"/>
      </w:rPr>
      <w:t>Working document  ·  not an approved staffing or pay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B4D3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B4D3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B4D3E"/>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Paraiso Golf Club — Staffing, Organisation and Remuneration Framework — Version 2</dc:title>
  <dc:subject>Project plan: status today, ideal structure, symptoms, and migration</dc:subject>
  <dc:creator>python-docx</dc:creator>
  <cp:keywords/>
  <dc:description>Restructured 16 October 2026 from the 12-13 October 2026 working draft. Not an approved pay policy.</dc:description>
  <cp:lastModifiedBy/>
  <cp:revision>1</cp:revision>
  <dcterms:created xsi:type="dcterms:W3CDTF">2013-12-23T23:15:00Z</dcterms:created>
  <dcterms:modified xsi:type="dcterms:W3CDTF">2013-12-23T23:15:00Z</dcterms:modified>
  <cp:category>Working document</cp:category>
</cp:coreProperties>
</file>